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060B8" w:rsidTr="00E834EF">
        <w:trPr>
          <w:trHeight w:val="1541"/>
        </w:trPr>
        <w:tc>
          <w:tcPr>
            <w:tcW w:w="109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060B8" w:rsidRPr="002060B8" w:rsidRDefault="002060B8" w:rsidP="000F595A">
            <w:pPr>
              <w:rPr>
                <w:rFonts w:ascii="Arial" w:hAnsi="Arial" w:cs="Arial"/>
                <w:b/>
              </w:rPr>
            </w:pPr>
            <w:r w:rsidRPr="002060B8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5850255</wp:posOffset>
                  </wp:positionH>
                  <wp:positionV relativeFrom="paragraph">
                    <wp:posOffset>100330</wp:posOffset>
                  </wp:positionV>
                  <wp:extent cx="933450" cy="714375"/>
                  <wp:effectExtent l="19050" t="0" r="0" b="0"/>
                  <wp:wrapNone/>
                  <wp:docPr id="3" name="Picture 1" descr="GG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G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60B8">
              <w:rPr>
                <w:rFonts w:ascii="Arial" w:hAnsi="Arial" w:cs="Arial"/>
                <w:b/>
              </w:rPr>
              <w:t>NHS Greater Glasgow &amp; Clyde</w:t>
            </w:r>
          </w:p>
          <w:p w:rsidR="002060B8" w:rsidRPr="002060B8" w:rsidRDefault="002060B8" w:rsidP="000F595A">
            <w:pPr>
              <w:rPr>
                <w:rFonts w:ascii="Arial" w:hAnsi="Arial" w:cs="Arial"/>
                <w:b/>
              </w:rPr>
            </w:pPr>
            <w:r w:rsidRPr="002060B8">
              <w:rPr>
                <w:rFonts w:ascii="Arial" w:hAnsi="Arial" w:cs="Arial"/>
                <w:b/>
              </w:rPr>
              <w:t>Clinical Guidelines</w:t>
            </w:r>
          </w:p>
          <w:p w:rsidR="002060B8" w:rsidRPr="002060B8" w:rsidRDefault="002060B8" w:rsidP="000F595A">
            <w:pPr>
              <w:rPr>
                <w:rFonts w:ascii="Arial" w:hAnsi="Arial" w:cs="Arial"/>
              </w:rPr>
            </w:pPr>
          </w:p>
          <w:p w:rsidR="002060B8" w:rsidRDefault="002060B8" w:rsidP="000F595A">
            <w:pPr>
              <w:rPr>
                <w:rFonts w:ascii="Arial" w:hAnsi="Arial" w:cs="Arial"/>
                <w:b/>
                <w:u w:val="single"/>
              </w:rPr>
            </w:pPr>
          </w:p>
          <w:p w:rsidR="002060B8" w:rsidRPr="002060B8" w:rsidRDefault="00E44F77" w:rsidP="000F595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Guidance for </w:t>
            </w:r>
            <w:r w:rsidR="002060B8" w:rsidRPr="002060B8">
              <w:rPr>
                <w:rFonts w:ascii="Arial" w:hAnsi="Arial" w:cs="Arial"/>
                <w:b/>
                <w:u w:val="single"/>
              </w:rPr>
              <w:t>Lead Author</w:t>
            </w:r>
            <w:r>
              <w:rPr>
                <w:rFonts w:ascii="Arial" w:hAnsi="Arial" w:cs="Arial"/>
                <w:b/>
                <w:u w:val="single"/>
              </w:rPr>
              <w:t>s</w:t>
            </w:r>
            <w:r w:rsidR="002060B8" w:rsidRPr="002060B8">
              <w:rPr>
                <w:rFonts w:ascii="Arial" w:hAnsi="Arial" w:cs="Arial"/>
                <w:b/>
                <w:u w:val="single"/>
              </w:rPr>
              <w:t>/Clinical Lead</w:t>
            </w:r>
            <w:r>
              <w:rPr>
                <w:rFonts w:ascii="Arial" w:hAnsi="Arial" w:cs="Arial"/>
                <w:b/>
                <w:u w:val="single"/>
              </w:rPr>
              <w:t>s</w:t>
            </w:r>
          </w:p>
          <w:p w:rsidR="002060B8" w:rsidRDefault="002060B8" w:rsidP="002060B8"/>
        </w:tc>
      </w:tr>
      <w:tr w:rsidR="002060B8" w:rsidTr="00E834EF">
        <w:trPr>
          <w:trHeight w:val="451"/>
        </w:trPr>
        <w:tc>
          <w:tcPr>
            <w:tcW w:w="10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0B8" w:rsidRDefault="002060B8" w:rsidP="000F595A">
            <w:pPr>
              <w:rPr>
                <w:rFonts w:ascii="Arial" w:hAnsi="Arial" w:cs="Arial"/>
              </w:rPr>
            </w:pPr>
          </w:p>
          <w:p w:rsidR="00026FED" w:rsidRPr="002060B8" w:rsidRDefault="00026FED" w:rsidP="000F5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</w:p>
        </w:tc>
      </w:tr>
      <w:tr w:rsidR="002060B8" w:rsidTr="00E834EF">
        <w:trPr>
          <w:trHeight w:val="5234"/>
        </w:trPr>
        <w:tc>
          <w:tcPr>
            <w:tcW w:w="10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ED" w:rsidRPr="00D126A9" w:rsidRDefault="00DB059C" w:rsidP="00BF1F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D126A9">
              <w:rPr>
                <w:rFonts w:ascii="Arial" w:hAnsi="Arial" w:cs="Arial"/>
                <w:color w:val="000000" w:themeColor="text1"/>
              </w:rPr>
              <w:t>Draft guideline</w:t>
            </w:r>
            <w:r w:rsidR="00026FED" w:rsidRPr="00D126A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A2E90" w:rsidRPr="00D126A9">
              <w:rPr>
                <w:rFonts w:ascii="Arial" w:hAnsi="Arial" w:cs="Arial"/>
                <w:color w:val="000000" w:themeColor="text1"/>
              </w:rPr>
              <w:t>as a word document</w:t>
            </w:r>
            <w:r w:rsidR="00B87C13" w:rsidRPr="00D126A9">
              <w:rPr>
                <w:rFonts w:ascii="Arial" w:hAnsi="Arial" w:cs="Arial"/>
                <w:color w:val="000000" w:themeColor="text1"/>
              </w:rPr>
              <w:t xml:space="preserve"> if possible. This is the preferred format for draft guidelines.</w:t>
            </w:r>
          </w:p>
          <w:p w:rsidR="00BF1F56" w:rsidRPr="00BF1F56" w:rsidRDefault="00026FED" w:rsidP="00BF1F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F1F56" w:rsidRPr="00BF1F56">
              <w:rPr>
                <w:rFonts w:ascii="Arial" w:hAnsi="Arial" w:cs="Arial"/>
              </w:rPr>
              <w:t xml:space="preserve">linical guidelines should conform to the principles outlined in AGREE detailed in the </w:t>
            </w:r>
            <w:hyperlink r:id="rId8" w:history="1">
              <w:hyperlink r:id="rId9" w:history="1">
                <w:r w:rsidR="00D50766" w:rsidRPr="00D50766">
                  <w:rPr>
                    <w:rStyle w:val="Hyperlink"/>
                    <w:rFonts w:ascii="Arial" w:hAnsi="Arial" w:cs="Arial"/>
                  </w:rPr>
                  <w:t>NHSGGC Clinical Guideline Framework and Toolkit</w:t>
                </w:r>
              </w:hyperlink>
            </w:hyperlink>
            <w:r w:rsidR="00D50766" w:rsidRPr="00D50766">
              <w:rPr>
                <w:rFonts w:ascii="Arial" w:hAnsi="Arial" w:cs="Arial"/>
              </w:rPr>
              <w:t xml:space="preserve"> </w:t>
            </w:r>
            <w:r w:rsidR="00BF1F56" w:rsidRPr="00BF1F56">
              <w:rPr>
                <w:rFonts w:ascii="Arial" w:hAnsi="Arial" w:cs="Arial"/>
              </w:rPr>
              <w:t xml:space="preserve">when </w:t>
            </w:r>
            <w:r w:rsidR="000F595A">
              <w:rPr>
                <w:rFonts w:ascii="Arial" w:hAnsi="Arial" w:cs="Arial"/>
              </w:rPr>
              <w:t xml:space="preserve">being </w:t>
            </w:r>
            <w:r w:rsidR="00BF1F56" w:rsidRPr="00BF1F56">
              <w:rPr>
                <w:rFonts w:ascii="Arial" w:hAnsi="Arial" w:cs="Arial"/>
              </w:rPr>
              <w:t>develop</w:t>
            </w:r>
            <w:r w:rsidR="000F595A">
              <w:rPr>
                <w:rFonts w:ascii="Arial" w:hAnsi="Arial" w:cs="Arial"/>
              </w:rPr>
              <w:t>ed</w:t>
            </w:r>
          </w:p>
          <w:p w:rsidR="00DB059C" w:rsidRPr="00BF1F56" w:rsidRDefault="00DB059C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F1F56">
              <w:rPr>
                <w:rFonts w:ascii="Arial" w:hAnsi="Arial" w:cs="Arial"/>
              </w:rPr>
              <w:t>Consult with key stakeholders</w:t>
            </w:r>
            <w:r w:rsidR="00E834EF">
              <w:rPr>
                <w:rFonts w:ascii="Arial" w:hAnsi="Arial" w:cs="Arial"/>
              </w:rPr>
              <w:t xml:space="preserve"> (other clinical experts in specialties guideline is applicable to)</w:t>
            </w:r>
          </w:p>
          <w:p w:rsidR="00DB059C" w:rsidRDefault="00DB059C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F1F56">
              <w:rPr>
                <w:rFonts w:ascii="Arial" w:hAnsi="Arial" w:cs="Arial"/>
              </w:rPr>
              <w:t xml:space="preserve">Consider any potential cost implications </w:t>
            </w:r>
            <w:r w:rsidR="00AA2E90">
              <w:rPr>
                <w:rFonts w:ascii="Arial" w:hAnsi="Arial" w:cs="Arial"/>
              </w:rPr>
              <w:t xml:space="preserve">(include pharmacy </w:t>
            </w:r>
            <w:r w:rsidRPr="00BF1F56">
              <w:rPr>
                <w:rFonts w:ascii="Arial" w:hAnsi="Arial" w:cs="Arial"/>
              </w:rPr>
              <w:t xml:space="preserve">if </w:t>
            </w:r>
            <w:r w:rsidR="00817488" w:rsidRPr="00BF1F56">
              <w:rPr>
                <w:rFonts w:ascii="Arial" w:hAnsi="Arial" w:cs="Arial"/>
              </w:rPr>
              <w:t>medicine</w:t>
            </w:r>
            <w:r w:rsidR="00AA2E90">
              <w:rPr>
                <w:rFonts w:ascii="Arial" w:hAnsi="Arial" w:cs="Arial"/>
              </w:rPr>
              <w:t xml:space="preserve"> related</w:t>
            </w:r>
            <w:r w:rsidR="00506FA6">
              <w:rPr>
                <w:rFonts w:ascii="Arial" w:hAnsi="Arial" w:cs="Arial"/>
              </w:rPr>
              <w:t>)</w:t>
            </w:r>
          </w:p>
          <w:p w:rsidR="000F595A" w:rsidRPr="00BF1F56" w:rsidRDefault="000F595A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 with applicable local level clinical governance groups</w:t>
            </w:r>
          </w:p>
          <w:p w:rsidR="00026FED" w:rsidRPr="000066D2" w:rsidRDefault="00817488" w:rsidP="00026F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066D2">
              <w:rPr>
                <w:rFonts w:ascii="Arial" w:hAnsi="Arial" w:cs="Arial"/>
              </w:rPr>
              <w:t xml:space="preserve">Complete relevant sections of </w:t>
            </w:r>
            <w:r w:rsidR="0095049E" w:rsidRPr="000066D2">
              <w:rPr>
                <w:rFonts w:ascii="Arial" w:hAnsi="Arial" w:cs="Arial"/>
              </w:rPr>
              <w:t xml:space="preserve">the appropriate Clinical Guideline </w:t>
            </w:r>
            <w:r w:rsidR="00D50766" w:rsidRPr="000066D2">
              <w:rPr>
                <w:rFonts w:ascii="Arial" w:hAnsi="Arial" w:cs="Arial"/>
              </w:rPr>
              <w:t xml:space="preserve">checklist </w:t>
            </w:r>
            <w:r w:rsidR="0095049E" w:rsidRPr="000066D2">
              <w:rPr>
                <w:rFonts w:ascii="Arial" w:hAnsi="Arial" w:cs="Arial"/>
              </w:rPr>
              <w:t xml:space="preserve">(for new or updated guideline) </w:t>
            </w:r>
            <w:r w:rsidR="00506FA6" w:rsidRPr="000066D2">
              <w:rPr>
                <w:rFonts w:ascii="Arial" w:hAnsi="Arial" w:cs="Arial"/>
              </w:rPr>
              <w:t xml:space="preserve">which can be found on the </w:t>
            </w:r>
            <w:hyperlink r:id="rId10" w:history="1">
              <w:hyperlink r:id="rId11" w:history="1">
                <w:r w:rsidR="00D50766" w:rsidRPr="000066D2">
                  <w:rPr>
                    <w:rStyle w:val="Hyperlink"/>
                    <w:rFonts w:ascii="Arial" w:hAnsi="Arial" w:cs="Arial"/>
                  </w:rPr>
                  <w:t>NHSGGC Clinical Guideline Framework and Toolkit</w:t>
                </w:r>
              </w:hyperlink>
            </w:hyperlink>
            <w:r w:rsidR="00D50766" w:rsidRPr="000066D2">
              <w:rPr>
                <w:rFonts w:ascii="Arial" w:hAnsi="Arial" w:cs="Arial"/>
              </w:rPr>
              <w:t xml:space="preserve"> </w:t>
            </w:r>
            <w:r w:rsidRPr="000066D2">
              <w:rPr>
                <w:rFonts w:ascii="Arial" w:hAnsi="Arial" w:cs="Arial"/>
              </w:rPr>
              <w:t xml:space="preserve">and </w:t>
            </w:r>
            <w:r w:rsidR="00026FED" w:rsidRPr="000066D2">
              <w:rPr>
                <w:rFonts w:ascii="Arial" w:hAnsi="Arial" w:cs="Arial"/>
              </w:rPr>
              <w:t>email</w:t>
            </w:r>
            <w:r w:rsidRPr="000066D2">
              <w:rPr>
                <w:rFonts w:ascii="Arial" w:hAnsi="Arial" w:cs="Arial"/>
              </w:rPr>
              <w:t xml:space="preserve"> to CGSU</w:t>
            </w:r>
            <w:r w:rsidR="00AA2E90" w:rsidRPr="000066D2">
              <w:rPr>
                <w:rFonts w:ascii="Arial" w:hAnsi="Arial" w:cs="Arial"/>
              </w:rPr>
              <w:t xml:space="preserve"> with word version of guideline to</w:t>
            </w:r>
            <w:r w:rsidR="00026FED" w:rsidRPr="000066D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066D2">
              <w:rPr>
                <w:rFonts w:ascii="Arial" w:hAnsi="Arial" w:cs="Arial"/>
              </w:rPr>
              <w:fldChar w:fldCharType="begin"/>
            </w:r>
            <w:r w:rsidR="000066D2">
              <w:rPr>
                <w:rFonts w:ascii="Arial" w:hAnsi="Arial" w:cs="Arial"/>
              </w:rPr>
              <w:instrText xml:space="preserve"> HYPERLINK "mailto:</w:instrText>
            </w:r>
            <w:r w:rsidR="000066D2" w:rsidRPr="000066D2">
              <w:rPr>
                <w:rFonts w:ascii="Arial" w:hAnsi="Arial" w:cs="Arial"/>
              </w:rPr>
              <w:instrText>ggc.clinical.guidelines@nhs.scot</w:instrText>
            </w:r>
            <w:r w:rsidR="000066D2">
              <w:rPr>
                <w:rFonts w:ascii="Arial" w:hAnsi="Arial" w:cs="Arial"/>
              </w:rPr>
              <w:instrText xml:space="preserve">" </w:instrText>
            </w:r>
            <w:r w:rsidR="000066D2">
              <w:rPr>
                <w:rFonts w:ascii="Arial" w:hAnsi="Arial" w:cs="Arial"/>
              </w:rPr>
              <w:fldChar w:fldCharType="separate"/>
            </w:r>
            <w:r w:rsidR="000066D2" w:rsidRPr="001E1AE6">
              <w:rPr>
                <w:rStyle w:val="Hyperlink"/>
                <w:rFonts w:ascii="Arial" w:hAnsi="Arial" w:cs="Arial"/>
              </w:rPr>
              <w:t>ggc.clinical.guidelines@nhs.scot</w:t>
            </w:r>
            <w:r w:rsidR="000066D2">
              <w:rPr>
                <w:rFonts w:ascii="Arial" w:hAnsi="Arial" w:cs="Arial"/>
              </w:rPr>
              <w:fldChar w:fldCharType="end"/>
            </w:r>
          </w:p>
          <w:p w:rsidR="00026FED" w:rsidRPr="00026FED" w:rsidRDefault="00026FED" w:rsidP="00026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and Update</w:t>
            </w:r>
          </w:p>
          <w:p w:rsidR="001A7B71" w:rsidRDefault="001A7B71" w:rsidP="001A7B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1F56">
              <w:rPr>
                <w:rFonts w:ascii="Arial" w:hAnsi="Arial" w:cs="Arial"/>
              </w:rPr>
              <w:t>Clinical guidelines should be kept under continuous review parti</w:t>
            </w:r>
            <w:r>
              <w:rPr>
                <w:rFonts w:ascii="Arial" w:hAnsi="Arial" w:cs="Arial"/>
              </w:rPr>
              <w:t>cularly to reflect new evidence</w:t>
            </w:r>
          </w:p>
          <w:p w:rsidR="00E834EF" w:rsidRPr="00BF1F56" w:rsidRDefault="00E834EF" w:rsidP="00E834E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1F56">
              <w:rPr>
                <w:rFonts w:ascii="Arial" w:hAnsi="Arial" w:cs="Arial"/>
              </w:rPr>
              <w:t>The lead author will receive an email to prompt a review of the guideline, approximately 90 days prior to the review date specified</w:t>
            </w:r>
          </w:p>
          <w:p w:rsidR="00E03738" w:rsidRDefault="00E03738" w:rsidP="00BF1F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author should consider how the guideline is operating in practice – have there been any adverse events or clinical incidents, and if so, has any learning been considered as part of the update of the guideline</w:t>
            </w:r>
          </w:p>
          <w:p w:rsidR="00170E0C" w:rsidRDefault="00170E0C" w:rsidP="00BF1F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L:ead author should consider whether there is any variation in practice and how this might be addressed by the updated guideline</w:t>
            </w:r>
          </w:p>
          <w:p w:rsidR="00B55711" w:rsidRDefault="00B55711" w:rsidP="00BF1F5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author should consider whether the updated guideline will have wider implications, and if so, should ensure </w:t>
            </w:r>
            <w:r w:rsidR="00A5133F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 xml:space="preserve">any appropriate key stakeholders are made </w:t>
            </w:r>
            <w:r w:rsidR="00A5133F">
              <w:rPr>
                <w:rFonts w:ascii="Arial" w:hAnsi="Arial" w:cs="Arial"/>
              </w:rPr>
              <w:t>aware of these, and that any other work is progressed.</w:t>
            </w:r>
          </w:p>
          <w:p w:rsidR="00E834EF" w:rsidRDefault="00E834EF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F1F56">
              <w:rPr>
                <w:rFonts w:ascii="Arial" w:hAnsi="Arial" w:cs="Arial"/>
              </w:rPr>
              <w:t xml:space="preserve">Lead authors should advise </w:t>
            </w:r>
            <w:r w:rsidR="00AA2E90">
              <w:rPr>
                <w:rFonts w:ascii="Arial" w:hAnsi="Arial" w:cs="Arial"/>
              </w:rPr>
              <w:t>of any changes to clinical advic</w:t>
            </w:r>
            <w:r w:rsidRPr="00BF1F56">
              <w:rPr>
                <w:rFonts w:ascii="Arial" w:hAnsi="Arial" w:cs="Arial"/>
              </w:rPr>
              <w:t>e when guidelines are updated</w:t>
            </w:r>
          </w:p>
          <w:p w:rsidR="000F595A" w:rsidRDefault="000F595A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</w:t>
            </w:r>
            <w:r w:rsidR="00817488" w:rsidRPr="00BF1F56">
              <w:rPr>
                <w:rFonts w:ascii="Arial" w:hAnsi="Arial" w:cs="Arial"/>
              </w:rPr>
              <w:t>ore formal review should not exceed 3 years from guideline development</w:t>
            </w:r>
          </w:p>
          <w:p w:rsidR="00026FED" w:rsidRPr="00E834EF" w:rsidRDefault="00026FED" w:rsidP="00BF1F5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834EF">
              <w:rPr>
                <w:rFonts w:ascii="Arial" w:hAnsi="Arial" w:cs="Arial"/>
              </w:rPr>
              <w:t xml:space="preserve">For guidelines which do not require any changes, </w:t>
            </w:r>
            <w:r w:rsidR="00840146">
              <w:rPr>
                <w:rFonts w:ascii="Arial" w:hAnsi="Arial" w:cs="Arial"/>
              </w:rPr>
              <w:t>advise the CGSU of the date for next review</w:t>
            </w:r>
          </w:p>
          <w:p w:rsidR="00E054F1" w:rsidRDefault="00E054F1" w:rsidP="00E834E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34EF">
              <w:rPr>
                <w:rFonts w:ascii="Arial" w:hAnsi="Arial" w:cs="Arial"/>
              </w:rPr>
              <w:t>Should the review of a clinical guideline not be concluded prior to the expiry of the current review</w:t>
            </w:r>
            <w:r w:rsidR="00BF1F56" w:rsidRPr="00E834EF">
              <w:rPr>
                <w:rFonts w:ascii="Arial" w:hAnsi="Arial" w:cs="Arial"/>
              </w:rPr>
              <w:t xml:space="preserve"> </w:t>
            </w:r>
            <w:r w:rsidRPr="00E834EF">
              <w:rPr>
                <w:rFonts w:ascii="Arial" w:hAnsi="Arial" w:cs="Arial"/>
              </w:rPr>
              <w:t>date, then the lead author will receive an email to advise that the clinical guideline has breached</w:t>
            </w:r>
            <w:r w:rsidR="00817488" w:rsidRPr="00E834EF">
              <w:rPr>
                <w:rFonts w:ascii="Arial" w:hAnsi="Arial" w:cs="Arial"/>
              </w:rPr>
              <w:t xml:space="preserve"> </w:t>
            </w:r>
            <w:r w:rsidRPr="00E834EF">
              <w:rPr>
                <w:rFonts w:ascii="Arial" w:hAnsi="Arial" w:cs="Arial"/>
              </w:rPr>
              <w:t>the review date, and asking them to advise of the next steps to be taken. A reporting and</w:t>
            </w:r>
            <w:r w:rsidR="00817488" w:rsidRPr="00E834EF">
              <w:rPr>
                <w:rFonts w:ascii="Arial" w:hAnsi="Arial" w:cs="Arial"/>
              </w:rPr>
              <w:t xml:space="preserve"> </w:t>
            </w:r>
            <w:r w:rsidRPr="00E834EF">
              <w:rPr>
                <w:rFonts w:ascii="Arial" w:hAnsi="Arial" w:cs="Arial"/>
              </w:rPr>
              <w:t>escalation framework is in place to highlight to the appropriate clinical governance structures</w:t>
            </w:r>
            <w:r w:rsidR="00817488" w:rsidRPr="00E834EF">
              <w:rPr>
                <w:rFonts w:ascii="Arial" w:hAnsi="Arial" w:cs="Arial"/>
              </w:rPr>
              <w:t xml:space="preserve"> </w:t>
            </w:r>
            <w:r w:rsidRPr="00E834EF">
              <w:rPr>
                <w:rFonts w:ascii="Arial" w:hAnsi="Arial" w:cs="Arial"/>
              </w:rPr>
              <w:t>those clinical guidelines which have breached their review date</w:t>
            </w:r>
          </w:p>
          <w:p w:rsidR="00E834EF" w:rsidRPr="002060B8" w:rsidRDefault="00E834EF" w:rsidP="00E834EF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F595A" w:rsidRDefault="000F595A"/>
    <w:sectPr w:rsidR="000F595A" w:rsidSect="00A336A0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145" w:rsidRDefault="00F81145" w:rsidP="00DE22DF">
      <w:r>
        <w:separator/>
      </w:r>
    </w:p>
  </w:endnote>
  <w:endnote w:type="continuationSeparator" w:id="0">
    <w:p w:rsidR="00F81145" w:rsidRDefault="00F81145" w:rsidP="00DE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DF" w:rsidRPr="00DE22DF" w:rsidRDefault="00353FB2" w:rsidP="00DE22DF">
    <w:pPr>
      <w:pStyle w:val="Footer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Guidance for lead authors </w:t>
    </w:r>
    <w:r w:rsidR="00506FA6">
      <w:rPr>
        <w:rFonts w:ascii="Arial" w:hAnsi="Arial" w:cs="Arial"/>
        <w:sz w:val="16"/>
        <w:szCs w:val="16"/>
      </w:rPr>
      <w:t>V</w:t>
    </w:r>
    <w:r w:rsidR="006D0894">
      <w:rPr>
        <w:rFonts w:ascii="Arial" w:hAnsi="Arial" w:cs="Arial"/>
        <w:sz w:val="16"/>
        <w:szCs w:val="16"/>
      </w:rPr>
      <w:t>3 31/10/2023</w:t>
    </w:r>
  </w:p>
  <w:p w:rsidR="00DE22DF" w:rsidRDefault="00DE2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145" w:rsidRDefault="00F81145" w:rsidP="00DE22DF">
      <w:r>
        <w:separator/>
      </w:r>
    </w:p>
  </w:footnote>
  <w:footnote w:type="continuationSeparator" w:id="0">
    <w:p w:rsidR="00F81145" w:rsidRDefault="00F81145" w:rsidP="00DE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2145"/>
    <w:multiLevelType w:val="hybridMultilevel"/>
    <w:tmpl w:val="44CC938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77D3"/>
    <w:multiLevelType w:val="hybridMultilevel"/>
    <w:tmpl w:val="44C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7AB"/>
    <w:multiLevelType w:val="hybridMultilevel"/>
    <w:tmpl w:val="CA8E3C6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BA246A"/>
    <w:multiLevelType w:val="hybridMultilevel"/>
    <w:tmpl w:val="67B2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94FE0"/>
    <w:multiLevelType w:val="hybridMultilevel"/>
    <w:tmpl w:val="44C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B8"/>
    <w:rsid w:val="000066D2"/>
    <w:rsid w:val="00026FED"/>
    <w:rsid w:val="000C08A4"/>
    <w:rsid w:val="000F595A"/>
    <w:rsid w:val="00170E0C"/>
    <w:rsid w:val="001A7B71"/>
    <w:rsid w:val="002060B8"/>
    <w:rsid w:val="00235A80"/>
    <w:rsid w:val="00353FB2"/>
    <w:rsid w:val="004C6DE5"/>
    <w:rsid w:val="004D7888"/>
    <w:rsid w:val="00506FA6"/>
    <w:rsid w:val="00647902"/>
    <w:rsid w:val="006D0894"/>
    <w:rsid w:val="00706141"/>
    <w:rsid w:val="00811180"/>
    <w:rsid w:val="00817488"/>
    <w:rsid w:val="00840146"/>
    <w:rsid w:val="0095049E"/>
    <w:rsid w:val="00A336A0"/>
    <w:rsid w:val="00A5133F"/>
    <w:rsid w:val="00A56D10"/>
    <w:rsid w:val="00AA2E90"/>
    <w:rsid w:val="00B0523F"/>
    <w:rsid w:val="00B409CC"/>
    <w:rsid w:val="00B55711"/>
    <w:rsid w:val="00B87C13"/>
    <w:rsid w:val="00BD515F"/>
    <w:rsid w:val="00BE7D49"/>
    <w:rsid w:val="00BF1F56"/>
    <w:rsid w:val="00CA590E"/>
    <w:rsid w:val="00D126A9"/>
    <w:rsid w:val="00D50766"/>
    <w:rsid w:val="00DB059C"/>
    <w:rsid w:val="00DE22DF"/>
    <w:rsid w:val="00E03738"/>
    <w:rsid w:val="00E054F1"/>
    <w:rsid w:val="00E44F77"/>
    <w:rsid w:val="00E834EF"/>
    <w:rsid w:val="00F55D58"/>
    <w:rsid w:val="00F65F06"/>
    <w:rsid w:val="00F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3A0BB-12D3-4A79-BB08-E027BCA0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0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DF"/>
  </w:style>
  <w:style w:type="paragraph" w:styleId="Footer">
    <w:name w:val="footer"/>
    <w:basedOn w:val="Normal"/>
    <w:link w:val="FooterChar"/>
    <w:uiPriority w:val="99"/>
    <w:unhideWhenUsed/>
    <w:rsid w:val="00DE2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2DF"/>
  </w:style>
  <w:style w:type="character" w:styleId="FollowedHyperlink">
    <w:name w:val="FollowedHyperlink"/>
    <w:basedOn w:val="DefaultParagraphFont"/>
    <w:uiPriority w:val="99"/>
    <w:semiHidden/>
    <w:unhideWhenUsed/>
    <w:rsid w:val="00950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guidelines.nhsggc.org.uk/clinical-guideline-toolk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inicalguidelines.nhsggc.org.uk/clinical-guideline-toolk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inicalguidelines.nhsggc.org.uk/clinical-guideline-toolk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nicalguidelines.nhsggc.org.uk/clinical-guideline-toolk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HANLODO912</dc:creator>
  <cp:lastModifiedBy>Leckie, June</cp:lastModifiedBy>
  <cp:revision>16</cp:revision>
  <dcterms:created xsi:type="dcterms:W3CDTF">2023-01-18T08:39:00Z</dcterms:created>
  <dcterms:modified xsi:type="dcterms:W3CDTF">2024-09-26T06:16:00Z</dcterms:modified>
</cp:coreProperties>
</file>