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361"/>
        <w:tblW w:w="11590" w:type="dxa"/>
        <w:tblBorders>
          <w:top w:val="single" w:sz="18" w:space="0" w:color="000080"/>
          <w:left w:val="single" w:sz="18" w:space="0" w:color="000080"/>
          <w:bottom w:val="single" w:sz="18" w:space="0" w:color="000080"/>
          <w:right w:val="single" w:sz="18" w:space="0" w:color="000080"/>
          <w:insideH w:val="single" w:sz="18" w:space="0" w:color="000080"/>
          <w:insideV w:val="single" w:sz="18" w:space="0" w:color="000080"/>
        </w:tblBorders>
        <w:tblLayout w:type="fixed"/>
        <w:tblLook w:val="01E0"/>
      </w:tblPr>
      <w:tblGrid>
        <w:gridCol w:w="9464"/>
        <w:gridCol w:w="2126"/>
      </w:tblGrid>
      <w:tr w:rsidR="004B58A7" w:rsidTr="004B58A7">
        <w:trPr>
          <w:cantSplit/>
        </w:trPr>
        <w:tc>
          <w:tcPr>
            <w:tcW w:w="9464" w:type="dxa"/>
            <w:shd w:val="clear" w:color="auto" w:fill="000080"/>
          </w:tcPr>
          <w:p w:rsidR="004B58A7" w:rsidRDefault="004B58A7" w:rsidP="004B58A7">
            <w:pPr>
              <w:pStyle w:val="Header"/>
              <w:spacing w:before="120" w:after="120"/>
              <w:rPr>
                <w:rFonts w:ascii="Arial" w:hAnsi="Arial" w:cs="Arial"/>
                <w:color w:val="FFFFFF"/>
                <w:sz w:val="40"/>
                <w:szCs w:val="38"/>
              </w:rPr>
            </w:pPr>
            <w:r>
              <w:rPr>
                <w:rFonts w:ascii="Arial" w:hAnsi="Arial" w:cs="Arial"/>
                <w:sz w:val="40"/>
              </w:rPr>
              <w:t xml:space="preserve">Superficial vein thrombosis or </w:t>
            </w:r>
            <w:proofErr w:type="spellStart"/>
            <w:r>
              <w:rPr>
                <w:rFonts w:ascii="Arial" w:hAnsi="Arial" w:cs="Arial"/>
                <w:sz w:val="40"/>
              </w:rPr>
              <w:t>thrombophlebitis</w:t>
            </w:r>
            <w:proofErr w:type="spellEnd"/>
            <w:r>
              <w:rPr>
                <w:rFonts w:ascii="Arial" w:hAnsi="Arial" w:cs="Arial"/>
                <w:sz w:val="40"/>
              </w:rPr>
              <w:t xml:space="preserve"> STP </w:t>
            </w:r>
          </w:p>
        </w:tc>
        <w:tc>
          <w:tcPr>
            <w:tcW w:w="2126" w:type="dxa"/>
            <w:vMerge w:val="restart"/>
          </w:tcPr>
          <w:p w:rsidR="004B58A7" w:rsidRDefault="004B58A7" w:rsidP="004B58A7">
            <w:pPr>
              <w:pStyle w:val="Header"/>
              <w:rPr>
                <w:rFonts w:ascii="Arial" w:hAnsi="Arial" w:cs="Arial"/>
                <w:color w:val="000080"/>
              </w:rPr>
            </w:pPr>
            <w:r>
              <w:rPr>
                <w:rFonts w:ascii="Arial" w:hAnsi="Arial" w:cs="Arial"/>
                <w:noProof/>
                <w:color w:val="000080"/>
                <w:lang w:eastAsia="en-GB"/>
              </w:rPr>
              <w:drawing>
                <wp:anchor distT="0" distB="0" distL="114300" distR="114300" simplePos="0" relativeHeight="251668480" behindDoc="0" locked="1" layoutInCell="1" allowOverlap="1">
                  <wp:simplePos x="0" y="0"/>
                  <wp:positionH relativeFrom="page">
                    <wp:posOffset>-113665</wp:posOffset>
                  </wp:positionH>
                  <wp:positionV relativeFrom="page">
                    <wp:posOffset>133985</wp:posOffset>
                  </wp:positionV>
                  <wp:extent cx="1369060" cy="962025"/>
                  <wp:effectExtent l="19050" t="0" r="2540" b="0"/>
                  <wp:wrapTopAndBottom/>
                  <wp:docPr id="1" name="Picture 2" descr="LO_2c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_2c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b="299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9060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B58A7" w:rsidTr="004B58A7">
        <w:trPr>
          <w:cantSplit/>
          <w:trHeight w:val="1163"/>
        </w:trPr>
        <w:tc>
          <w:tcPr>
            <w:tcW w:w="9464" w:type="dxa"/>
            <w:vAlign w:val="center"/>
          </w:tcPr>
          <w:p w:rsidR="004B58A7" w:rsidRDefault="004B58A7" w:rsidP="004B58A7">
            <w:pPr>
              <w:pStyle w:val="Header"/>
              <w:spacing w:before="120" w:after="120"/>
              <w:rPr>
                <w:rFonts w:ascii="Arial" w:hAnsi="Arial" w:cs="Arial"/>
                <w:color w:val="000080"/>
              </w:rPr>
            </w:pPr>
            <w:r>
              <w:rPr>
                <w:rFonts w:ascii="Arial" w:hAnsi="Arial" w:cs="Arial"/>
                <w:color w:val="000080"/>
                <w:sz w:val="54"/>
                <w:szCs w:val="54"/>
              </w:rPr>
              <w:t>AMBULATORY CARE PLAN</w:t>
            </w:r>
          </w:p>
        </w:tc>
        <w:tc>
          <w:tcPr>
            <w:tcW w:w="2126" w:type="dxa"/>
            <w:vMerge/>
          </w:tcPr>
          <w:p w:rsidR="004B58A7" w:rsidRDefault="004B58A7" w:rsidP="004B58A7">
            <w:pPr>
              <w:pStyle w:val="Header"/>
              <w:rPr>
                <w:rFonts w:ascii="Arial" w:hAnsi="Arial" w:cs="Arial"/>
                <w:color w:val="000080"/>
              </w:rPr>
            </w:pPr>
          </w:p>
        </w:tc>
      </w:tr>
    </w:tbl>
    <w:p w:rsidR="004B5305" w:rsidRDefault="00D94A3E"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7.25pt;margin-top:597.75pt;width:435pt;height:70.5pt;z-index:251665408;mso-position-horizontal-relative:text;mso-position-vertical-relative:text">
            <v:textbox>
              <w:txbxContent>
                <w:p w:rsidR="007D3E23" w:rsidRPr="004B5BB9" w:rsidRDefault="004B5BB9" w:rsidP="007D3E23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r w:rsidR="007D3E23" w:rsidRPr="004B5BB9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Patients should </w:t>
                  </w:r>
                  <w:r w:rsidR="007D3E23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be seen in Ambulatory Care at 1 week to ensure no progression and at the end of treatment to ensure resolution. </w:t>
                  </w:r>
                  <w:r w:rsidR="007D3E23" w:rsidRPr="004B5BB9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</w:p>
                <w:p w:rsidR="009D3E68" w:rsidRPr="004B5BB9" w:rsidRDefault="004B5BB9" w:rsidP="00985E5F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Patients who are discharged should be given </w:t>
                  </w:r>
                  <w:r w:rsidR="009D3E68" w:rsidRPr="004B5BB9">
                    <w:rPr>
                      <w:rFonts w:ascii="Arial" w:hAnsi="Arial" w:cs="Arial"/>
                      <w:b/>
                      <w:sz w:val="22"/>
                      <w:szCs w:val="22"/>
                    </w:rPr>
                    <w:t>advice to re-attend hospital if they have symptoms of a DVT or PE.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line id="_x0000_s1037" style="position:absolute;z-index:251673600;mso-position-horizontal-relative:text;mso-position-vertical-relative:text" from="200.25pt,543.75pt" to="200.25pt,597.75pt">
            <v:stroke endarrow="block"/>
          </v:line>
        </w:pict>
      </w:r>
      <w:r>
        <w:rPr>
          <w:noProof/>
          <w:lang w:eastAsia="en-GB"/>
        </w:rPr>
        <w:pict>
          <v:shape id="_x0000_s1030" type="#_x0000_t202" style="position:absolute;margin-left:-16.5pt;margin-top:441.75pt;width:434.25pt;height:102pt;z-index:251664384;mso-position-horizontal-relative:text;mso-position-vertical-relative:text" fillcolor="#eaeaea" strokeweight="3pt">
            <v:textbox>
              <w:txbxContent>
                <w:p w:rsidR="009D3E68" w:rsidRPr="004B5BB9" w:rsidRDefault="009D3E68" w:rsidP="009D3E6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B5BB9">
                    <w:rPr>
                      <w:rFonts w:ascii="Arial" w:hAnsi="Arial" w:cs="Arial"/>
                      <w:sz w:val="22"/>
                      <w:szCs w:val="22"/>
                    </w:rPr>
                    <w:t xml:space="preserve">Patients with 2 or more episodes of STP affecting the proximal long or short </w:t>
                  </w:r>
                  <w:proofErr w:type="spellStart"/>
                  <w:r w:rsidRPr="004B5BB9">
                    <w:rPr>
                      <w:rFonts w:ascii="Arial" w:hAnsi="Arial" w:cs="Arial"/>
                      <w:sz w:val="22"/>
                      <w:szCs w:val="22"/>
                    </w:rPr>
                    <w:t>saphenous</w:t>
                  </w:r>
                  <w:proofErr w:type="spellEnd"/>
                  <w:r w:rsidRPr="004B5BB9">
                    <w:rPr>
                      <w:rFonts w:ascii="Arial" w:hAnsi="Arial" w:cs="Arial"/>
                      <w:sz w:val="22"/>
                      <w:szCs w:val="22"/>
                    </w:rPr>
                    <w:t xml:space="preserve"> veins should be referred to Vascular Surgery.</w:t>
                  </w:r>
                </w:p>
                <w:p w:rsidR="009D3E68" w:rsidRPr="004B5BB9" w:rsidRDefault="009D3E68" w:rsidP="009D3E6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B5BB9">
                    <w:rPr>
                      <w:rFonts w:ascii="Arial" w:hAnsi="Arial" w:cs="Arial"/>
                      <w:sz w:val="22"/>
                      <w:szCs w:val="22"/>
                    </w:rPr>
                    <w:t>If patients have recurrent or migratory STP in the absence of varicose veins please consider the possibility of underlying malignancy.</w:t>
                  </w:r>
                </w:p>
                <w:p w:rsidR="009D3E68" w:rsidRPr="004B5BB9" w:rsidRDefault="009D3E68" w:rsidP="009D3E6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B5BB9">
                    <w:rPr>
                      <w:rFonts w:ascii="Arial" w:hAnsi="Arial" w:cs="Arial"/>
                      <w:sz w:val="22"/>
                      <w:szCs w:val="22"/>
                    </w:rPr>
                    <w:t>Patients can be offered Class 1 compression stockings to improve their symptoms if they have detectable foot pulses and there are no other contra-indications.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line id="_x0000_s1036" style="position:absolute;z-index:251672576;mso-position-horizontal-relative:text;mso-position-vertical-relative:text" from="200.25pt,411.75pt" to="200.25pt,441.75pt">
            <v:stroke endarrow="block"/>
          </v:line>
        </w:pict>
      </w:r>
      <w:r>
        <w:rPr>
          <w:noProof/>
          <w:lang w:eastAsia="en-GB"/>
        </w:rPr>
        <w:pict>
          <v:line id="_x0000_s1035" style="position:absolute;z-index:251671552;mso-position-horizontal-relative:text;mso-position-vertical-relative:text" from="200.25pt,310.5pt" to="200.25pt,340.5pt">
            <v:stroke endarrow="block"/>
          </v:line>
        </w:pict>
      </w:r>
      <w:r>
        <w:rPr>
          <w:noProof/>
          <w:lang w:eastAsia="en-GB"/>
        </w:rPr>
        <w:pict>
          <v:line id="_x0000_s1034" style="position:absolute;z-index:251670528;mso-position-horizontal-relative:text;mso-position-vertical-relative:text" from="200.25pt,192pt" to="200.25pt,222pt">
            <v:stroke endarrow="block"/>
          </v:line>
        </w:pict>
      </w:r>
      <w:r>
        <w:rPr>
          <w:noProof/>
          <w:lang w:eastAsia="en-GB"/>
        </w:rPr>
        <w:pict>
          <v:line id="_x0000_s1033" style="position:absolute;z-index:251669504;mso-position-horizontal-relative:text;mso-position-vertical-relative:text" from="200.25pt,122.35pt" to="200.25pt,140.45pt">
            <v:stroke endarrow="block"/>
          </v:line>
        </w:pict>
      </w:r>
      <w:r>
        <w:rPr>
          <w:noProof/>
          <w:lang w:eastAsia="en-GB"/>
        </w:rPr>
        <w:pict>
          <v:shape id="_x0000_s1032" type="#_x0000_t202" style="position:absolute;margin-left:-26.25pt;margin-top:340.5pt;width:450.75pt;height:71.25pt;z-index:251666432;mso-position-horizontal-relative:text;mso-position-vertical-relative:text">
            <v:textbox>
              <w:txbxContent>
                <w:p w:rsidR="009D3E68" w:rsidRPr="004B5BB9" w:rsidRDefault="009D3E68" w:rsidP="00985E5F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4B5BB9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Mild </w:t>
                  </w:r>
                  <w:r w:rsidR="00F61C14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distal </w:t>
                  </w:r>
                  <w:r w:rsidRPr="004B5BB9">
                    <w:rPr>
                      <w:rFonts w:ascii="Arial" w:hAnsi="Arial" w:cs="Arial"/>
                      <w:b/>
                      <w:sz w:val="22"/>
                      <w:szCs w:val="22"/>
                    </w:rPr>
                    <w:t>STP less than 5cm in length can be treated with NSAIDs.</w:t>
                  </w:r>
                </w:p>
                <w:p w:rsidR="009D3E68" w:rsidRPr="004B5BB9" w:rsidRDefault="009D3E68" w:rsidP="00985E5F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4B5BB9">
                    <w:rPr>
                      <w:rFonts w:ascii="Arial" w:hAnsi="Arial" w:cs="Arial"/>
                      <w:b/>
                      <w:sz w:val="22"/>
                      <w:szCs w:val="22"/>
                    </w:rPr>
                    <w:t>These patients can be re</w:t>
                  </w:r>
                  <w:r w:rsidR="0005739E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viewed in 1 week </w:t>
                  </w:r>
                  <w:r w:rsidRPr="004B5BB9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in Ambulatory Care and if the STP is not improving can be changed to prophylactic </w:t>
                  </w:r>
                  <w:proofErr w:type="spellStart"/>
                  <w:r w:rsidRPr="004B5BB9">
                    <w:rPr>
                      <w:rFonts w:ascii="Arial" w:hAnsi="Arial" w:cs="Arial"/>
                      <w:b/>
                      <w:sz w:val="22"/>
                      <w:szCs w:val="22"/>
                    </w:rPr>
                    <w:t>dalteparin</w:t>
                  </w:r>
                  <w:proofErr w:type="spellEnd"/>
                  <w:r w:rsidRPr="004B5BB9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for 4 weeks.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29" type="#_x0000_t202" style="position:absolute;margin-left:-40.5pt;margin-top:222pt;width:479.25pt;height:87.75pt;z-index:251663360;mso-position-horizontal-relative:text;mso-position-vertical-relative:text" fillcolor="#eaeaea" strokeweight="3pt">
            <v:textbox>
              <w:txbxContent>
                <w:p w:rsidR="009D3E68" w:rsidRPr="004B5BB9" w:rsidRDefault="009D3E68" w:rsidP="00985E5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B5BB9">
                    <w:rPr>
                      <w:rFonts w:ascii="Arial" w:hAnsi="Arial" w:cs="Arial"/>
                      <w:sz w:val="22"/>
                      <w:szCs w:val="22"/>
                    </w:rPr>
                    <w:t>If ultrasound shows a DVT then treat for DVT.</w:t>
                  </w:r>
                </w:p>
                <w:p w:rsidR="009D3E68" w:rsidRPr="004B5BB9" w:rsidRDefault="009D3E68" w:rsidP="00985E5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B5BB9">
                    <w:rPr>
                      <w:rFonts w:ascii="Arial" w:hAnsi="Arial" w:cs="Arial"/>
                      <w:sz w:val="22"/>
                      <w:szCs w:val="22"/>
                    </w:rPr>
                    <w:t xml:space="preserve">If ultrasound shows STP within 3cm of the </w:t>
                  </w:r>
                  <w:proofErr w:type="spellStart"/>
                  <w:r w:rsidRPr="004B5BB9">
                    <w:rPr>
                      <w:rFonts w:ascii="Arial" w:hAnsi="Arial" w:cs="Arial"/>
                      <w:sz w:val="22"/>
                      <w:szCs w:val="22"/>
                    </w:rPr>
                    <w:t>sapheno</w:t>
                  </w:r>
                  <w:proofErr w:type="spellEnd"/>
                  <w:r w:rsidRPr="004B5BB9">
                    <w:rPr>
                      <w:rFonts w:ascii="Arial" w:hAnsi="Arial" w:cs="Arial"/>
                      <w:sz w:val="22"/>
                      <w:szCs w:val="22"/>
                    </w:rPr>
                    <w:t>-femoral junction then commence therapeutic anticoagulation for 3 months.</w:t>
                  </w:r>
                </w:p>
                <w:p w:rsidR="009D3E68" w:rsidRPr="004B5BB9" w:rsidRDefault="009D3E68" w:rsidP="00985E5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B5BB9">
                    <w:rPr>
                      <w:rFonts w:ascii="Arial" w:hAnsi="Arial" w:cs="Arial"/>
                      <w:sz w:val="22"/>
                      <w:szCs w:val="22"/>
                    </w:rPr>
                    <w:t xml:space="preserve">If STP is more than 5cm in length or there is a large </w:t>
                  </w:r>
                  <w:proofErr w:type="spellStart"/>
                  <w:r w:rsidRPr="004B5BB9">
                    <w:rPr>
                      <w:rFonts w:ascii="Arial" w:hAnsi="Arial" w:cs="Arial"/>
                      <w:sz w:val="22"/>
                      <w:szCs w:val="22"/>
                    </w:rPr>
                    <w:t>thrombosed</w:t>
                  </w:r>
                  <w:proofErr w:type="spellEnd"/>
                  <w:r w:rsidRPr="004B5BB9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gramStart"/>
                  <w:r w:rsidRPr="004B5BB9">
                    <w:rPr>
                      <w:rFonts w:ascii="Arial" w:hAnsi="Arial" w:cs="Arial"/>
                      <w:sz w:val="22"/>
                      <w:szCs w:val="22"/>
                    </w:rPr>
                    <w:t>varicosity give</w:t>
                  </w:r>
                  <w:proofErr w:type="gramEnd"/>
                  <w:r w:rsidRPr="004B5BB9">
                    <w:rPr>
                      <w:rFonts w:ascii="Arial" w:hAnsi="Arial" w:cs="Arial"/>
                      <w:sz w:val="22"/>
                      <w:szCs w:val="22"/>
                    </w:rPr>
                    <w:t xml:space="preserve"> therapeutic </w:t>
                  </w:r>
                  <w:r w:rsidR="008A06F6" w:rsidRPr="008A06F6"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  <w:t xml:space="preserve">anticoagulation </w:t>
                  </w:r>
                  <w:r w:rsidRPr="004B5BB9">
                    <w:rPr>
                      <w:rFonts w:ascii="Arial" w:hAnsi="Arial" w:cs="Arial"/>
                      <w:sz w:val="22"/>
                      <w:szCs w:val="22"/>
                    </w:rPr>
                    <w:t xml:space="preserve">for 4-6 weeks. 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28" type="#_x0000_t202" style="position:absolute;margin-left:-10.5pt;margin-top:140.25pt;width:435pt;height:51.75pt;z-index:251662336;mso-position-horizontal-relative:text;mso-position-vertical-relative:text">
            <v:textbox>
              <w:txbxContent>
                <w:p w:rsidR="009D3E68" w:rsidRPr="004B5BB9" w:rsidRDefault="009D3E68" w:rsidP="009D3E68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4B5BB9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If there are concerns about underlying DVT or the STP is affecting the proximal long </w:t>
                  </w:r>
                  <w:proofErr w:type="spellStart"/>
                  <w:r w:rsidRPr="004B5BB9">
                    <w:rPr>
                      <w:rFonts w:ascii="Arial" w:hAnsi="Arial" w:cs="Arial"/>
                      <w:b/>
                      <w:sz w:val="22"/>
                      <w:szCs w:val="22"/>
                    </w:rPr>
                    <w:t>saphenous</w:t>
                  </w:r>
                  <w:proofErr w:type="spellEnd"/>
                  <w:r w:rsidRPr="004B5BB9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vein then assess in the usual way for DVT and get </w:t>
                  </w:r>
                  <w:r w:rsidR="004B58A7" w:rsidRPr="004B5BB9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appropriate blood tests </w:t>
                  </w:r>
                  <w:r w:rsidRPr="004B5BB9">
                    <w:rPr>
                      <w:rFonts w:ascii="Arial" w:hAnsi="Arial" w:cs="Arial"/>
                      <w:b/>
                      <w:sz w:val="22"/>
                      <w:szCs w:val="22"/>
                    </w:rPr>
                    <w:t>an</w:t>
                  </w:r>
                  <w:r w:rsidR="004B58A7" w:rsidRPr="004B5BB9">
                    <w:rPr>
                      <w:rFonts w:ascii="Arial" w:hAnsi="Arial" w:cs="Arial"/>
                      <w:b/>
                      <w:sz w:val="22"/>
                      <w:szCs w:val="22"/>
                    </w:rPr>
                    <w:t>d an</w:t>
                  </w:r>
                  <w:r w:rsidRPr="004B5BB9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ultrasound of the leg.</w:t>
                  </w:r>
                </w:p>
                <w:p w:rsidR="009D3E68" w:rsidRPr="00C14C92" w:rsidRDefault="009D3E68" w:rsidP="00985E5F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. 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27" type="#_x0000_t202" style="position:absolute;margin-left:25.5pt;margin-top:65.25pt;width:357pt;height:57.1pt;z-index:251661312;mso-position-horizontal-relative:text;mso-position-vertical-relative:text" fillcolor="#eaeaea" strokeweight="3pt">
            <v:textbox>
              <w:txbxContent>
                <w:p w:rsidR="009D3E68" w:rsidRDefault="009D3E68" w:rsidP="007503E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gramStart"/>
                  <w:r w:rsidRPr="004B5BB9">
                    <w:rPr>
                      <w:rFonts w:ascii="Arial" w:hAnsi="Arial" w:cs="Arial"/>
                      <w:sz w:val="22"/>
                      <w:szCs w:val="22"/>
                    </w:rPr>
                    <w:t>Referral for investigation normally not necessary for a short segment of below knee STP unless concomitant DVT suspected</w:t>
                  </w:r>
                  <w:r w:rsidR="004B5BB9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  <w:proofErr w:type="gramEnd"/>
                </w:p>
                <w:p w:rsidR="004B5BB9" w:rsidRPr="004B5BB9" w:rsidRDefault="004B5BB9" w:rsidP="007503E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Pregnant patients should be referred to Obstetric Triage.</w:t>
                  </w:r>
                </w:p>
              </w:txbxContent>
            </v:textbox>
          </v:shape>
        </w:pict>
      </w:r>
    </w:p>
    <w:sectPr w:rsidR="004B5305" w:rsidSect="004B53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8A7" w:rsidRDefault="004B58A7" w:rsidP="004B58A7">
      <w:r>
        <w:separator/>
      </w:r>
    </w:p>
  </w:endnote>
  <w:endnote w:type="continuationSeparator" w:id="0">
    <w:p w:rsidR="004B58A7" w:rsidRDefault="004B58A7" w:rsidP="004B58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E23" w:rsidRDefault="007D3E2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8A7" w:rsidRDefault="004B58A7" w:rsidP="004B58A7">
    <w:pPr>
      <w:pStyle w:val="Footer"/>
      <w:jc w:val="center"/>
      <w:rPr>
        <w:rFonts w:ascii="Arial" w:hAnsi="Arial" w:cs="Arial"/>
        <w:sz w:val="20"/>
        <w:szCs w:val="20"/>
      </w:rPr>
    </w:pPr>
    <w:r w:rsidRPr="004B58A7">
      <w:rPr>
        <w:rFonts w:ascii="Arial" w:hAnsi="Arial" w:cs="Arial"/>
        <w:sz w:val="20"/>
        <w:szCs w:val="20"/>
      </w:rPr>
      <w:t xml:space="preserve">Ambulatory Care </w:t>
    </w:r>
    <w:r w:rsidR="007D3E23">
      <w:rPr>
        <w:rFonts w:ascii="Arial" w:hAnsi="Arial" w:cs="Arial"/>
        <w:sz w:val="20"/>
        <w:szCs w:val="20"/>
      </w:rPr>
      <w:t xml:space="preserve">RIE </w:t>
    </w:r>
    <w:r>
      <w:rPr>
        <w:rFonts w:ascii="Arial" w:hAnsi="Arial" w:cs="Arial"/>
        <w:sz w:val="20"/>
        <w:szCs w:val="20"/>
      </w:rPr>
      <w:t xml:space="preserve">STP </w:t>
    </w:r>
    <w:r w:rsidR="008A06F6">
      <w:rPr>
        <w:rFonts w:ascii="Arial" w:hAnsi="Arial" w:cs="Arial"/>
        <w:sz w:val="20"/>
        <w:szCs w:val="20"/>
      </w:rPr>
      <w:t xml:space="preserve">Pathway </w:t>
    </w:r>
    <w:r w:rsidR="008A06F6" w:rsidRPr="008A06F6">
      <w:rPr>
        <w:rFonts w:ascii="Arial" w:hAnsi="Arial" w:cs="Arial"/>
        <w:color w:val="FF0000"/>
        <w:sz w:val="20"/>
        <w:szCs w:val="20"/>
      </w:rPr>
      <w:t>July 2024</w:t>
    </w:r>
  </w:p>
  <w:p w:rsidR="007D3E23" w:rsidRDefault="007D3E23" w:rsidP="004B58A7">
    <w:pPr>
      <w:pStyle w:val="Footer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Dr Ross Murphy</w:t>
    </w:r>
  </w:p>
  <w:p w:rsidR="007D3E23" w:rsidRPr="004B58A7" w:rsidRDefault="008A06F6" w:rsidP="004B58A7">
    <w:pPr>
      <w:pStyle w:val="Footer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Review date </w:t>
    </w:r>
    <w:r w:rsidRPr="008A06F6">
      <w:rPr>
        <w:rFonts w:ascii="Arial" w:hAnsi="Arial" w:cs="Arial"/>
        <w:color w:val="FF0000"/>
        <w:sz w:val="20"/>
        <w:szCs w:val="20"/>
      </w:rPr>
      <w:t>July 2027</w:t>
    </w:r>
  </w:p>
  <w:p w:rsidR="004B58A7" w:rsidRDefault="004B58A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E23" w:rsidRDefault="007D3E2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8A7" w:rsidRDefault="004B58A7" w:rsidP="004B58A7">
      <w:r>
        <w:separator/>
      </w:r>
    </w:p>
  </w:footnote>
  <w:footnote w:type="continuationSeparator" w:id="0">
    <w:p w:rsidR="004B58A7" w:rsidRDefault="004B58A7" w:rsidP="004B58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E23" w:rsidRDefault="007D3E2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E23" w:rsidRDefault="007D3E2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E23" w:rsidRDefault="007D3E2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3EE"/>
    <w:rsid w:val="0005739E"/>
    <w:rsid w:val="00105160"/>
    <w:rsid w:val="0022420A"/>
    <w:rsid w:val="00252142"/>
    <w:rsid w:val="003203FB"/>
    <w:rsid w:val="003910E1"/>
    <w:rsid w:val="00497A01"/>
    <w:rsid w:val="004B087B"/>
    <w:rsid w:val="004B333A"/>
    <w:rsid w:val="004B5305"/>
    <w:rsid w:val="004B58A7"/>
    <w:rsid w:val="004B58EB"/>
    <w:rsid w:val="004B5BB9"/>
    <w:rsid w:val="00520F95"/>
    <w:rsid w:val="006501BA"/>
    <w:rsid w:val="006A60B8"/>
    <w:rsid w:val="00710912"/>
    <w:rsid w:val="007503EE"/>
    <w:rsid w:val="007D3E23"/>
    <w:rsid w:val="007E1B48"/>
    <w:rsid w:val="0080057D"/>
    <w:rsid w:val="008A06F6"/>
    <w:rsid w:val="008A476D"/>
    <w:rsid w:val="008C299D"/>
    <w:rsid w:val="009418BE"/>
    <w:rsid w:val="00985E5F"/>
    <w:rsid w:val="009B4807"/>
    <w:rsid w:val="009D3E68"/>
    <w:rsid w:val="00A23B09"/>
    <w:rsid w:val="00A902C4"/>
    <w:rsid w:val="00A97D45"/>
    <w:rsid w:val="00B14892"/>
    <w:rsid w:val="00BE7025"/>
    <w:rsid w:val="00C16A2A"/>
    <w:rsid w:val="00C7283B"/>
    <w:rsid w:val="00C8525D"/>
    <w:rsid w:val="00CE6806"/>
    <w:rsid w:val="00D732E8"/>
    <w:rsid w:val="00D94A3E"/>
    <w:rsid w:val="00E341C5"/>
    <w:rsid w:val="00E7133D"/>
    <w:rsid w:val="00F61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503E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503E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B58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58A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58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8A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 Murphy</dc:creator>
  <cp:lastModifiedBy>Ross Murphy</cp:lastModifiedBy>
  <cp:revision>3</cp:revision>
  <dcterms:created xsi:type="dcterms:W3CDTF">2024-07-10T13:53:00Z</dcterms:created>
  <dcterms:modified xsi:type="dcterms:W3CDTF">2024-07-10T13:54:00Z</dcterms:modified>
</cp:coreProperties>
</file>