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4B2C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4B2CE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4B2CEF">
        <w:rPr>
          <w:rFonts w:eastAsia="Calibri"/>
          <w:b/>
          <w:bCs/>
          <w:color w:val="FFFFFF"/>
          <w:kern w:val="0"/>
          <w:sz w:val="56"/>
          <w:szCs w:val="56"/>
          <w:shd w:val="clear" w:color="auto" w:fill="auto"/>
          <w:lang w:val="en-US" w:eastAsia="en-US"/>
          <w14:ligatures w14:val="none"/>
        </w:rPr>
        <w:t>Evidence Search and Summary</w:t>
      </w:r>
    </w:p>
    <w:p w14:paraId="25EF5495" w14:textId="7E849651" w:rsidR="00F06446" w:rsidRPr="004B2CEF" w:rsidRDefault="00F60BA3"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Varicose veins surgery</w:t>
      </w:r>
      <w:r w:rsidR="00F06446" w:rsidRPr="004B2CEF">
        <w:rPr>
          <w:rFonts w:eastAsia="Calibri"/>
          <w:color w:val="FFFFFF"/>
          <w:kern w:val="0"/>
          <w:sz w:val="40"/>
          <w:szCs w:val="40"/>
          <w:shd w:val="clear" w:color="auto" w:fill="auto"/>
          <w:lang w:val="en-US" w:eastAsia="en-US"/>
          <w14:ligatures w14:val="none"/>
        </w:rPr>
        <w:t>: evidence base to underpin Exceptional Referral Protocol</w:t>
      </w:r>
    </w:p>
    <w:p w14:paraId="698C9498" w14:textId="77777777" w:rsidR="00F06446" w:rsidRPr="004B2CEF" w:rsidRDefault="00F06446" w:rsidP="00F06446">
      <w:pPr>
        <w:rPr>
          <w:shd w:val="clear" w:color="auto" w:fill="auto"/>
          <w:lang w:val="en-US" w:eastAsia="en-US"/>
        </w:rPr>
      </w:pPr>
    </w:p>
    <w:p w14:paraId="6F85A644" w14:textId="0CFD1A57" w:rsidR="008C2164" w:rsidRPr="004B2CEF" w:rsidRDefault="008C2164" w:rsidP="008C2164">
      <w:pPr>
        <w:rPr>
          <w:rFonts w:eastAsia="Times New Roman"/>
        </w:rPr>
      </w:pPr>
    </w:p>
    <w:p w14:paraId="5804428E" w14:textId="77777777" w:rsidR="0002622F" w:rsidRPr="004B2CEF" w:rsidRDefault="0002622F" w:rsidP="008C2164">
      <w:pPr>
        <w:rPr>
          <w:rFonts w:eastAsia="Times New Roman"/>
        </w:rPr>
      </w:pPr>
    </w:p>
    <w:p w14:paraId="674B73BE" w14:textId="7F5D5A9D" w:rsidR="00117651" w:rsidRPr="004B2CEF" w:rsidRDefault="000B2FFA" w:rsidP="00117651">
      <w:pPr>
        <w:rPr>
          <w:rFonts w:eastAsia="Times New Roman"/>
          <w:b/>
          <w:bCs/>
          <w:color w:val="009A46"/>
          <w:sz w:val="28"/>
          <w:szCs w:val="28"/>
        </w:rPr>
      </w:pPr>
      <w:r w:rsidRPr="004B2CEF">
        <w:rPr>
          <w:rFonts w:eastAsia="Times New Roman"/>
          <w:b/>
          <w:bCs/>
          <w:color w:val="009A46"/>
          <w:sz w:val="28"/>
          <w:szCs w:val="28"/>
        </w:rPr>
        <w:t>An e</w:t>
      </w:r>
      <w:r w:rsidR="00117651" w:rsidRPr="004B2CEF">
        <w:rPr>
          <w:rFonts w:eastAsia="Times New Roman"/>
          <w:b/>
          <w:bCs/>
          <w:color w:val="009A46"/>
          <w:sz w:val="28"/>
          <w:szCs w:val="28"/>
        </w:rPr>
        <w:t>vidence search and summar</w:t>
      </w:r>
      <w:r w:rsidRPr="004B2CEF">
        <w:rPr>
          <w:rFonts w:eastAsia="Times New Roman"/>
          <w:b/>
          <w:bCs/>
          <w:color w:val="009A46"/>
          <w:sz w:val="28"/>
          <w:szCs w:val="28"/>
        </w:rPr>
        <w:t>y is a</w:t>
      </w:r>
      <w:r w:rsidR="00117651" w:rsidRPr="004B2CEF">
        <w:rPr>
          <w:rFonts w:eastAsia="Times New Roman"/>
          <w:b/>
          <w:bCs/>
          <w:color w:val="009A46"/>
          <w:sz w:val="28"/>
          <w:szCs w:val="28"/>
        </w:rPr>
        <w:t xml:space="preserve"> high-level briefing to provide more detail about </w:t>
      </w:r>
      <w:r w:rsidR="00262788" w:rsidRPr="004B2CEF">
        <w:rPr>
          <w:rFonts w:eastAsia="Times New Roman"/>
          <w:b/>
          <w:bCs/>
          <w:color w:val="009A46"/>
          <w:sz w:val="28"/>
          <w:szCs w:val="28"/>
        </w:rPr>
        <w:t>a</w:t>
      </w:r>
      <w:r w:rsidR="00117651" w:rsidRPr="004B2CEF">
        <w:rPr>
          <w:rFonts w:eastAsia="Times New Roman"/>
          <w:b/>
          <w:bCs/>
          <w:color w:val="009A46"/>
          <w:sz w:val="28"/>
          <w:szCs w:val="28"/>
        </w:rPr>
        <w:t xml:space="preserve"> topic to help with decision making.</w:t>
      </w:r>
    </w:p>
    <w:p w14:paraId="3C2A477D" w14:textId="77777777" w:rsidR="00117651" w:rsidRPr="004B2CEF" w:rsidRDefault="00117651" w:rsidP="00117651">
      <w:pPr>
        <w:rPr>
          <w:rFonts w:eastAsia="Times New Roman"/>
          <w:color w:val="009A46"/>
          <w:sz w:val="28"/>
          <w:szCs w:val="28"/>
        </w:rPr>
      </w:pPr>
    </w:p>
    <w:p w14:paraId="20F81DAF" w14:textId="77777777" w:rsidR="00117651" w:rsidRPr="004B2CEF" w:rsidRDefault="00117651" w:rsidP="00117651">
      <w:pPr>
        <w:rPr>
          <w:rFonts w:eastAsia="Times New Roman"/>
          <w:color w:val="009A46"/>
          <w:sz w:val="28"/>
          <w:szCs w:val="28"/>
        </w:rPr>
      </w:pPr>
    </w:p>
    <w:p w14:paraId="685FD03F" w14:textId="77777777" w:rsidR="00F045E8" w:rsidRPr="004B2C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4B2CEF" w14:paraId="42390737" w14:textId="77777777" w:rsidTr="00400565">
        <w:tc>
          <w:tcPr>
            <w:tcW w:w="1418" w:type="dxa"/>
          </w:tcPr>
          <w:p w14:paraId="07E0A8E8" w14:textId="18000978" w:rsidR="002C702D" w:rsidRPr="004B2CEF" w:rsidRDefault="00895F50" w:rsidP="00B15943">
            <w:r w:rsidRPr="004B2CEF">
              <w:rPr>
                <w:b/>
                <w:bCs/>
              </w:rPr>
              <w:t>Referrer</w:t>
            </w:r>
            <w:r w:rsidR="00586A66" w:rsidRPr="004B2CEF">
              <w:rPr>
                <w:b/>
                <w:bCs/>
              </w:rPr>
              <w:t xml:space="preserve"> </w:t>
            </w:r>
            <w:r w:rsidR="00586A66" w:rsidRPr="004B2CEF">
              <w:rPr>
                <w:b/>
                <w:bCs/>
              </w:rPr>
              <w:br/>
            </w:r>
          </w:p>
        </w:tc>
        <w:tc>
          <w:tcPr>
            <w:tcW w:w="7598" w:type="dxa"/>
          </w:tcPr>
          <w:p w14:paraId="50BC769D" w14:textId="412A63A6" w:rsidR="002C702D" w:rsidRPr="004B2CEF" w:rsidRDefault="002C702D" w:rsidP="00B15943">
            <w:r w:rsidRPr="004B2CEF">
              <w:t xml:space="preserve">Andy Malyon, Chair, Procedures of Limited Value Group, </w:t>
            </w:r>
            <w:r w:rsidR="00C40E67" w:rsidRPr="004B2CEF">
              <w:t>Scottish Government</w:t>
            </w:r>
            <w:r w:rsidRPr="004B2CEF">
              <w:t xml:space="preserve"> </w:t>
            </w:r>
            <w:hyperlink r:id="rId14" w:history="1">
              <w:r w:rsidR="00C40E67" w:rsidRPr="004B2CEF">
                <w:rPr>
                  <w:rStyle w:val="Hyperlink"/>
                </w:rPr>
                <w:t>Andy.Malyon@gov.scot</w:t>
              </w:r>
            </w:hyperlink>
          </w:p>
          <w:p w14:paraId="691F56ED" w14:textId="77777777" w:rsidR="002C702D" w:rsidRPr="004B2CEF" w:rsidRDefault="002C702D" w:rsidP="00B15943"/>
          <w:p w14:paraId="72569F88" w14:textId="507A4D57" w:rsidR="002C702D" w:rsidRPr="004B2CEF" w:rsidRDefault="002C702D" w:rsidP="00B15943">
            <w:pPr>
              <w:rPr>
                <w14:ligatures w14:val="none"/>
              </w:rPr>
            </w:pPr>
            <w:r w:rsidRPr="004B2CEF">
              <w:t xml:space="preserve">Craig Bell, </w:t>
            </w:r>
            <w:r w:rsidRPr="004B2CEF">
              <w:rPr>
                <w14:ligatures w14:val="none"/>
              </w:rPr>
              <w:t xml:space="preserve">Head of Realistic Medicine Policy Team, </w:t>
            </w:r>
            <w:r w:rsidR="00714FA8" w:rsidRPr="004B2CEF">
              <w:rPr>
                <w14:ligatures w14:val="none"/>
              </w:rPr>
              <w:br/>
            </w:r>
            <w:r w:rsidR="00C40E67" w:rsidRPr="004B2CEF">
              <w:t xml:space="preserve">Scottish Government </w:t>
            </w:r>
            <w:hyperlink r:id="rId15" w:history="1">
              <w:r w:rsidR="00D96514" w:rsidRPr="004B2CEF">
                <w:rPr>
                  <w:rStyle w:val="Hyperlink"/>
                  <w14:ligatures w14:val="none"/>
                </w:rPr>
                <w:t>craig.bell@gov.scot</w:t>
              </w:r>
            </w:hyperlink>
          </w:p>
          <w:p w14:paraId="003311A8" w14:textId="77777777" w:rsidR="002C702D" w:rsidRPr="004B2CEF" w:rsidRDefault="002C702D" w:rsidP="00B15943"/>
        </w:tc>
      </w:tr>
      <w:tr w:rsidR="002C702D" w:rsidRPr="004B2CEF" w14:paraId="4EA063D7" w14:textId="77777777" w:rsidTr="00400565">
        <w:tc>
          <w:tcPr>
            <w:tcW w:w="1418" w:type="dxa"/>
          </w:tcPr>
          <w:p w14:paraId="65C9F17D" w14:textId="6D073036" w:rsidR="002C702D" w:rsidRPr="004B2CEF" w:rsidRDefault="00400565" w:rsidP="00B15943">
            <w:r w:rsidRPr="004B2CEF">
              <w:rPr>
                <w:b/>
                <w:bCs/>
              </w:rPr>
              <w:t>Author</w:t>
            </w:r>
            <w:r w:rsidR="002C702D" w:rsidRPr="004B2CEF">
              <w:t xml:space="preserve"> </w:t>
            </w:r>
            <w:r w:rsidR="00194995" w:rsidRPr="004B2CEF">
              <w:br/>
            </w:r>
          </w:p>
          <w:p w14:paraId="20D690C4" w14:textId="6715C033" w:rsidR="00C40E67" w:rsidRPr="004B2CEF" w:rsidRDefault="00C40E67" w:rsidP="00B15943"/>
        </w:tc>
        <w:tc>
          <w:tcPr>
            <w:tcW w:w="7598" w:type="dxa"/>
          </w:tcPr>
          <w:p w14:paraId="2913DD9F" w14:textId="14D67732" w:rsidR="00963AC0" w:rsidRPr="004B2CEF" w:rsidRDefault="00264CC0" w:rsidP="00A30E3E">
            <w:r w:rsidRPr="00264CC0">
              <w:t>Evidence search and summaries are authored by the Information Scientists in Healthcare Improvement Scotland (HIS), with support from colleagues in the HIS Research and Information Service</w:t>
            </w:r>
          </w:p>
          <w:p w14:paraId="5B1BA546" w14:textId="1E20FBF4" w:rsidR="00D96514" w:rsidRPr="004B2CEF" w:rsidRDefault="00D96514" w:rsidP="00B15943"/>
        </w:tc>
      </w:tr>
      <w:tr w:rsidR="002C702D" w:rsidRPr="001636EF" w14:paraId="2256D7A5" w14:textId="77777777" w:rsidTr="00400565">
        <w:tc>
          <w:tcPr>
            <w:tcW w:w="1418" w:type="dxa"/>
          </w:tcPr>
          <w:p w14:paraId="7A232125" w14:textId="2232B86B" w:rsidR="002C702D" w:rsidRPr="004B2CEF" w:rsidRDefault="002C702D" w:rsidP="00B15943">
            <w:r w:rsidRPr="004B2CEF">
              <w:rPr>
                <w:b/>
                <w:bCs/>
              </w:rPr>
              <w:t>Date</w:t>
            </w:r>
          </w:p>
        </w:tc>
        <w:tc>
          <w:tcPr>
            <w:tcW w:w="7598" w:type="dxa"/>
          </w:tcPr>
          <w:p w14:paraId="4D37F94C" w14:textId="7CFB4876" w:rsidR="002C702D" w:rsidRPr="001636EF" w:rsidRDefault="00F60BA3" w:rsidP="00B15943">
            <w:r>
              <w:t>16 May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6B1A3966" w14:textId="205A5DA3" w:rsidR="00E16B36" w:rsidRDefault="00E16B36" w:rsidP="00E16B36">
      <w:r w:rsidRPr="001636EF">
        <w:t xml:space="preserve">The Evidence Search and Summary Service is provided by Healthcare Improvement Scotland’s </w:t>
      </w:r>
      <w:r>
        <w:t>Evidence and Digital Directorate</w:t>
      </w:r>
      <w:r w:rsidRPr="001636EF">
        <w:t xml:space="preserve">. This is one of </w:t>
      </w:r>
      <w:r>
        <w:t xml:space="preserve">the </w:t>
      </w:r>
      <w:r w:rsidRPr="001636EF">
        <w:t xml:space="preserve">services </w:t>
      </w:r>
      <w:r>
        <w:t>we offer</w:t>
      </w:r>
      <w:r w:rsidRPr="001636EF">
        <w:t xml:space="preserve"> to use evidence to improve health and care. To find out more, please contact </w:t>
      </w:r>
      <w:hyperlink r:id="rId16" w:history="1">
        <w:r w:rsidR="00DF5904" w:rsidRPr="008C57BD">
          <w:rPr>
            <w:rStyle w:val="Hyperlink"/>
          </w:rPr>
          <w:t>his.evidence@nhs.scot</w:t>
        </w:r>
      </w:hyperlink>
      <w:r>
        <w:t xml:space="preserve"> </w:t>
      </w:r>
    </w:p>
    <w:p w14:paraId="06325C83" w14:textId="77777777" w:rsidR="00137B40" w:rsidRPr="001636EF" w:rsidRDefault="00137B40" w:rsidP="00E16B36"/>
    <w:sdt>
      <w:sdtPr>
        <w:rPr>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250019">
          <w:pPr>
            <w:pStyle w:val="TOCHeading"/>
          </w:pPr>
          <w:r w:rsidRPr="00EB239A">
            <w:t>Contents</w:t>
          </w:r>
        </w:p>
        <w:p w14:paraId="273038C6" w14:textId="3C0F3DE5" w:rsidR="00913A9C"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8802224" w:history="1">
            <w:r w:rsidR="00913A9C" w:rsidRPr="005D1FC9">
              <w:rPr>
                <w:rStyle w:val="Hyperlink"/>
                <w:noProof/>
              </w:rPr>
              <w:t>1</w:t>
            </w:r>
            <w:r w:rsidR="00913A9C">
              <w:rPr>
                <w:rFonts w:asciiTheme="minorHAnsi" w:eastAsiaTheme="minorEastAsia" w:hAnsiTheme="minorHAnsi" w:cstheme="minorBidi"/>
                <w:noProof/>
                <w:shd w:val="clear" w:color="auto" w:fill="auto"/>
              </w:rPr>
              <w:tab/>
            </w:r>
            <w:r w:rsidR="00913A9C" w:rsidRPr="005D1FC9">
              <w:rPr>
                <w:rStyle w:val="Hyperlink"/>
                <w:noProof/>
              </w:rPr>
              <w:t>Questions</w:t>
            </w:r>
            <w:r w:rsidR="00913A9C">
              <w:rPr>
                <w:noProof/>
                <w:webHidden/>
              </w:rPr>
              <w:tab/>
            </w:r>
            <w:r w:rsidR="00913A9C">
              <w:rPr>
                <w:noProof/>
                <w:webHidden/>
              </w:rPr>
              <w:fldChar w:fldCharType="begin"/>
            </w:r>
            <w:r w:rsidR="00913A9C">
              <w:rPr>
                <w:noProof/>
                <w:webHidden/>
              </w:rPr>
              <w:instrText xml:space="preserve"> PAGEREF _Toc198802224 \h </w:instrText>
            </w:r>
            <w:r w:rsidR="00913A9C">
              <w:rPr>
                <w:noProof/>
                <w:webHidden/>
              </w:rPr>
            </w:r>
            <w:r w:rsidR="00913A9C">
              <w:rPr>
                <w:noProof/>
                <w:webHidden/>
              </w:rPr>
              <w:fldChar w:fldCharType="separate"/>
            </w:r>
            <w:r w:rsidR="008E1B59">
              <w:rPr>
                <w:noProof/>
                <w:webHidden/>
              </w:rPr>
              <w:t>2</w:t>
            </w:r>
            <w:r w:rsidR="00913A9C">
              <w:rPr>
                <w:noProof/>
                <w:webHidden/>
              </w:rPr>
              <w:fldChar w:fldCharType="end"/>
            </w:r>
          </w:hyperlink>
        </w:p>
        <w:p w14:paraId="7FFEDDB1" w14:textId="78DA994D"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25" w:history="1">
            <w:r w:rsidRPr="005D1FC9">
              <w:rPr>
                <w:rStyle w:val="Hyperlink"/>
                <w:noProof/>
              </w:rPr>
              <w:t>2</w:t>
            </w:r>
            <w:r>
              <w:rPr>
                <w:rFonts w:asciiTheme="minorHAnsi" w:eastAsiaTheme="minorEastAsia" w:hAnsiTheme="minorHAnsi" w:cstheme="minorBidi"/>
                <w:noProof/>
                <w:shd w:val="clear" w:color="auto" w:fill="auto"/>
              </w:rPr>
              <w:tab/>
            </w:r>
            <w:r w:rsidRPr="005D1FC9">
              <w:rPr>
                <w:rStyle w:val="Hyperlink"/>
                <w:noProof/>
              </w:rPr>
              <w:t>Method and approach</w:t>
            </w:r>
            <w:r>
              <w:rPr>
                <w:noProof/>
                <w:webHidden/>
              </w:rPr>
              <w:tab/>
            </w:r>
            <w:r>
              <w:rPr>
                <w:noProof/>
                <w:webHidden/>
              </w:rPr>
              <w:fldChar w:fldCharType="begin"/>
            </w:r>
            <w:r>
              <w:rPr>
                <w:noProof/>
                <w:webHidden/>
              </w:rPr>
              <w:instrText xml:space="preserve"> PAGEREF _Toc198802225 \h </w:instrText>
            </w:r>
            <w:r>
              <w:rPr>
                <w:noProof/>
                <w:webHidden/>
              </w:rPr>
            </w:r>
            <w:r>
              <w:rPr>
                <w:noProof/>
                <w:webHidden/>
              </w:rPr>
              <w:fldChar w:fldCharType="separate"/>
            </w:r>
            <w:r w:rsidR="008E1B59">
              <w:rPr>
                <w:noProof/>
                <w:webHidden/>
              </w:rPr>
              <w:t>2</w:t>
            </w:r>
            <w:r>
              <w:rPr>
                <w:noProof/>
                <w:webHidden/>
              </w:rPr>
              <w:fldChar w:fldCharType="end"/>
            </w:r>
          </w:hyperlink>
        </w:p>
        <w:p w14:paraId="6F8BC05D" w14:textId="2523F023"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26" w:history="1">
            <w:r w:rsidRPr="005D1FC9">
              <w:rPr>
                <w:rStyle w:val="Hyperlink"/>
                <w:noProof/>
              </w:rPr>
              <w:t>3</w:t>
            </w:r>
            <w:r>
              <w:rPr>
                <w:rFonts w:asciiTheme="minorHAnsi" w:eastAsiaTheme="minorEastAsia" w:hAnsiTheme="minorHAnsi" w:cstheme="minorBidi"/>
                <w:noProof/>
                <w:shd w:val="clear" w:color="auto" w:fill="auto"/>
              </w:rPr>
              <w:tab/>
            </w:r>
            <w:r w:rsidRPr="005D1FC9">
              <w:rPr>
                <w:rStyle w:val="Hyperlink"/>
                <w:noProof/>
              </w:rPr>
              <w:t>Referral criteria</w:t>
            </w:r>
            <w:r>
              <w:rPr>
                <w:noProof/>
                <w:webHidden/>
              </w:rPr>
              <w:tab/>
            </w:r>
            <w:r>
              <w:rPr>
                <w:noProof/>
                <w:webHidden/>
              </w:rPr>
              <w:fldChar w:fldCharType="begin"/>
            </w:r>
            <w:r>
              <w:rPr>
                <w:noProof/>
                <w:webHidden/>
              </w:rPr>
              <w:instrText xml:space="preserve"> PAGEREF _Toc198802226 \h </w:instrText>
            </w:r>
            <w:r>
              <w:rPr>
                <w:noProof/>
                <w:webHidden/>
              </w:rPr>
            </w:r>
            <w:r>
              <w:rPr>
                <w:noProof/>
                <w:webHidden/>
              </w:rPr>
              <w:fldChar w:fldCharType="separate"/>
            </w:r>
            <w:r w:rsidR="008E1B59">
              <w:rPr>
                <w:noProof/>
                <w:webHidden/>
              </w:rPr>
              <w:t>2</w:t>
            </w:r>
            <w:r>
              <w:rPr>
                <w:noProof/>
                <w:webHidden/>
              </w:rPr>
              <w:fldChar w:fldCharType="end"/>
            </w:r>
          </w:hyperlink>
        </w:p>
        <w:p w14:paraId="5F5FB3BB" w14:textId="503F5949"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41" w:history="1">
            <w:r w:rsidRPr="005D1FC9">
              <w:rPr>
                <w:rStyle w:val="Hyperlink"/>
                <w:noProof/>
              </w:rPr>
              <w:t>4</w:t>
            </w:r>
            <w:r>
              <w:rPr>
                <w:rFonts w:asciiTheme="minorHAnsi" w:eastAsiaTheme="minorEastAsia" w:hAnsiTheme="minorHAnsi" w:cstheme="minorBidi"/>
                <w:noProof/>
                <w:shd w:val="clear" w:color="auto" w:fill="auto"/>
              </w:rPr>
              <w:tab/>
            </w:r>
            <w:r w:rsidRPr="005D1FC9">
              <w:rPr>
                <w:rStyle w:val="Hyperlink"/>
                <w:noProof/>
              </w:rPr>
              <w:t>Benefits</w:t>
            </w:r>
            <w:r>
              <w:rPr>
                <w:noProof/>
                <w:webHidden/>
              </w:rPr>
              <w:tab/>
            </w:r>
            <w:r>
              <w:rPr>
                <w:noProof/>
                <w:webHidden/>
              </w:rPr>
              <w:fldChar w:fldCharType="begin"/>
            </w:r>
            <w:r>
              <w:rPr>
                <w:noProof/>
                <w:webHidden/>
              </w:rPr>
              <w:instrText xml:space="preserve"> PAGEREF _Toc198802241 \h </w:instrText>
            </w:r>
            <w:r>
              <w:rPr>
                <w:noProof/>
                <w:webHidden/>
              </w:rPr>
            </w:r>
            <w:r>
              <w:rPr>
                <w:noProof/>
                <w:webHidden/>
              </w:rPr>
              <w:fldChar w:fldCharType="separate"/>
            </w:r>
            <w:r w:rsidR="008E1B59">
              <w:rPr>
                <w:noProof/>
                <w:webHidden/>
              </w:rPr>
              <w:t>3</w:t>
            </w:r>
            <w:r>
              <w:rPr>
                <w:noProof/>
                <w:webHidden/>
              </w:rPr>
              <w:fldChar w:fldCharType="end"/>
            </w:r>
          </w:hyperlink>
        </w:p>
        <w:p w14:paraId="757F0830" w14:textId="6C207457"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42" w:history="1">
            <w:r w:rsidRPr="005D1FC9">
              <w:rPr>
                <w:rStyle w:val="Hyperlink"/>
                <w:noProof/>
              </w:rPr>
              <w:t>5</w:t>
            </w:r>
            <w:r>
              <w:rPr>
                <w:rFonts w:asciiTheme="minorHAnsi" w:eastAsiaTheme="minorEastAsia" w:hAnsiTheme="minorHAnsi" w:cstheme="minorBidi"/>
                <w:noProof/>
                <w:shd w:val="clear" w:color="auto" w:fill="auto"/>
              </w:rPr>
              <w:tab/>
            </w:r>
            <w:r w:rsidRPr="005D1FC9">
              <w:rPr>
                <w:rStyle w:val="Hyperlink"/>
                <w:noProof/>
              </w:rPr>
              <w:t>Risks and complications</w:t>
            </w:r>
            <w:r>
              <w:rPr>
                <w:noProof/>
                <w:webHidden/>
              </w:rPr>
              <w:tab/>
            </w:r>
            <w:r>
              <w:rPr>
                <w:noProof/>
                <w:webHidden/>
              </w:rPr>
              <w:fldChar w:fldCharType="begin"/>
            </w:r>
            <w:r>
              <w:rPr>
                <w:noProof/>
                <w:webHidden/>
              </w:rPr>
              <w:instrText xml:space="preserve"> PAGEREF _Toc198802242 \h </w:instrText>
            </w:r>
            <w:r>
              <w:rPr>
                <w:noProof/>
                <w:webHidden/>
              </w:rPr>
            </w:r>
            <w:r>
              <w:rPr>
                <w:noProof/>
                <w:webHidden/>
              </w:rPr>
              <w:fldChar w:fldCharType="separate"/>
            </w:r>
            <w:r w:rsidR="008E1B59">
              <w:rPr>
                <w:noProof/>
                <w:webHidden/>
              </w:rPr>
              <w:t>4</w:t>
            </w:r>
            <w:r>
              <w:rPr>
                <w:noProof/>
                <w:webHidden/>
              </w:rPr>
              <w:fldChar w:fldCharType="end"/>
            </w:r>
          </w:hyperlink>
        </w:p>
        <w:p w14:paraId="256A11ED" w14:textId="41520B62"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43" w:history="1">
            <w:r w:rsidRPr="005D1FC9">
              <w:rPr>
                <w:rStyle w:val="Hyperlink"/>
                <w:noProof/>
              </w:rPr>
              <w:t>6</w:t>
            </w:r>
            <w:r>
              <w:rPr>
                <w:rFonts w:asciiTheme="minorHAnsi" w:eastAsiaTheme="minorEastAsia" w:hAnsiTheme="minorHAnsi" w:cstheme="minorBidi"/>
                <w:noProof/>
                <w:shd w:val="clear" w:color="auto" w:fill="auto"/>
              </w:rPr>
              <w:tab/>
            </w:r>
            <w:r w:rsidRPr="005D1FC9">
              <w:rPr>
                <w:rStyle w:val="Hyperlink"/>
                <w:noProof/>
              </w:rPr>
              <w:t>Contraindications</w:t>
            </w:r>
            <w:r>
              <w:rPr>
                <w:noProof/>
                <w:webHidden/>
              </w:rPr>
              <w:tab/>
            </w:r>
            <w:r>
              <w:rPr>
                <w:noProof/>
                <w:webHidden/>
              </w:rPr>
              <w:fldChar w:fldCharType="begin"/>
            </w:r>
            <w:r>
              <w:rPr>
                <w:noProof/>
                <w:webHidden/>
              </w:rPr>
              <w:instrText xml:space="preserve"> PAGEREF _Toc198802243 \h </w:instrText>
            </w:r>
            <w:r>
              <w:rPr>
                <w:noProof/>
                <w:webHidden/>
              </w:rPr>
            </w:r>
            <w:r>
              <w:rPr>
                <w:noProof/>
                <w:webHidden/>
              </w:rPr>
              <w:fldChar w:fldCharType="separate"/>
            </w:r>
            <w:r w:rsidR="008E1B59">
              <w:rPr>
                <w:noProof/>
                <w:webHidden/>
              </w:rPr>
              <w:t>6</w:t>
            </w:r>
            <w:r>
              <w:rPr>
                <w:noProof/>
                <w:webHidden/>
              </w:rPr>
              <w:fldChar w:fldCharType="end"/>
            </w:r>
          </w:hyperlink>
        </w:p>
        <w:p w14:paraId="713E6791" w14:textId="1B4FD576" w:rsidR="00913A9C" w:rsidRDefault="00913A9C">
          <w:pPr>
            <w:pStyle w:val="TOC2"/>
            <w:tabs>
              <w:tab w:val="left" w:pos="960"/>
              <w:tab w:val="right" w:leader="dot" w:pos="9016"/>
            </w:tabs>
            <w:rPr>
              <w:rFonts w:asciiTheme="minorHAnsi" w:eastAsiaTheme="minorEastAsia" w:hAnsiTheme="minorHAnsi" w:cstheme="minorBidi"/>
              <w:noProof/>
              <w:shd w:val="clear" w:color="auto" w:fill="auto"/>
            </w:rPr>
          </w:pPr>
          <w:hyperlink w:anchor="_Toc198802245" w:history="1">
            <w:r w:rsidRPr="005D1FC9">
              <w:rPr>
                <w:rStyle w:val="Hyperlink"/>
                <w:noProof/>
              </w:rPr>
              <w:t>6.1</w:t>
            </w:r>
            <w:r>
              <w:rPr>
                <w:rFonts w:asciiTheme="minorHAnsi" w:eastAsiaTheme="minorEastAsia" w:hAnsiTheme="minorHAnsi" w:cstheme="minorBidi"/>
                <w:noProof/>
                <w:shd w:val="clear" w:color="auto" w:fill="auto"/>
              </w:rPr>
              <w:tab/>
            </w:r>
            <w:r w:rsidRPr="005D1FC9">
              <w:rPr>
                <w:rStyle w:val="Hyperlink"/>
                <w:noProof/>
              </w:rPr>
              <w:t>Endothermal ablation</w:t>
            </w:r>
            <w:r>
              <w:rPr>
                <w:noProof/>
                <w:webHidden/>
              </w:rPr>
              <w:tab/>
            </w:r>
            <w:r>
              <w:rPr>
                <w:noProof/>
                <w:webHidden/>
              </w:rPr>
              <w:fldChar w:fldCharType="begin"/>
            </w:r>
            <w:r>
              <w:rPr>
                <w:noProof/>
                <w:webHidden/>
              </w:rPr>
              <w:instrText xml:space="preserve"> PAGEREF _Toc198802245 \h </w:instrText>
            </w:r>
            <w:r>
              <w:rPr>
                <w:noProof/>
                <w:webHidden/>
              </w:rPr>
            </w:r>
            <w:r>
              <w:rPr>
                <w:noProof/>
                <w:webHidden/>
              </w:rPr>
              <w:fldChar w:fldCharType="separate"/>
            </w:r>
            <w:r w:rsidR="008E1B59">
              <w:rPr>
                <w:noProof/>
                <w:webHidden/>
              </w:rPr>
              <w:t>6</w:t>
            </w:r>
            <w:r>
              <w:rPr>
                <w:noProof/>
                <w:webHidden/>
              </w:rPr>
              <w:fldChar w:fldCharType="end"/>
            </w:r>
          </w:hyperlink>
        </w:p>
        <w:p w14:paraId="021827E8" w14:textId="2BCDD1FB" w:rsidR="00913A9C" w:rsidRDefault="00913A9C">
          <w:pPr>
            <w:pStyle w:val="TOC2"/>
            <w:tabs>
              <w:tab w:val="left" w:pos="960"/>
              <w:tab w:val="right" w:leader="dot" w:pos="9016"/>
            </w:tabs>
            <w:rPr>
              <w:rFonts w:asciiTheme="minorHAnsi" w:eastAsiaTheme="minorEastAsia" w:hAnsiTheme="minorHAnsi" w:cstheme="minorBidi"/>
              <w:noProof/>
              <w:shd w:val="clear" w:color="auto" w:fill="auto"/>
            </w:rPr>
          </w:pPr>
          <w:hyperlink w:anchor="_Toc198802246" w:history="1">
            <w:r w:rsidRPr="005D1FC9">
              <w:rPr>
                <w:rStyle w:val="Hyperlink"/>
                <w:noProof/>
              </w:rPr>
              <w:t>6.2</w:t>
            </w:r>
            <w:r>
              <w:rPr>
                <w:rFonts w:asciiTheme="minorHAnsi" w:eastAsiaTheme="minorEastAsia" w:hAnsiTheme="minorHAnsi" w:cstheme="minorBidi"/>
                <w:noProof/>
                <w:shd w:val="clear" w:color="auto" w:fill="auto"/>
              </w:rPr>
              <w:tab/>
            </w:r>
            <w:r w:rsidRPr="005D1FC9">
              <w:rPr>
                <w:rStyle w:val="Hyperlink"/>
                <w:noProof/>
              </w:rPr>
              <w:t>Sclerotherapy</w:t>
            </w:r>
            <w:r>
              <w:rPr>
                <w:noProof/>
                <w:webHidden/>
              </w:rPr>
              <w:tab/>
            </w:r>
            <w:r>
              <w:rPr>
                <w:noProof/>
                <w:webHidden/>
              </w:rPr>
              <w:fldChar w:fldCharType="begin"/>
            </w:r>
            <w:r>
              <w:rPr>
                <w:noProof/>
                <w:webHidden/>
              </w:rPr>
              <w:instrText xml:space="preserve"> PAGEREF _Toc198802246 \h </w:instrText>
            </w:r>
            <w:r>
              <w:rPr>
                <w:noProof/>
                <w:webHidden/>
              </w:rPr>
            </w:r>
            <w:r>
              <w:rPr>
                <w:noProof/>
                <w:webHidden/>
              </w:rPr>
              <w:fldChar w:fldCharType="separate"/>
            </w:r>
            <w:r w:rsidR="008E1B59">
              <w:rPr>
                <w:noProof/>
                <w:webHidden/>
              </w:rPr>
              <w:t>6</w:t>
            </w:r>
            <w:r>
              <w:rPr>
                <w:noProof/>
                <w:webHidden/>
              </w:rPr>
              <w:fldChar w:fldCharType="end"/>
            </w:r>
          </w:hyperlink>
        </w:p>
        <w:p w14:paraId="73BF9711" w14:textId="5994E88C"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47" w:history="1">
            <w:r w:rsidRPr="005D1FC9">
              <w:rPr>
                <w:rStyle w:val="Hyperlink"/>
                <w:noProof/>
              </w:rPr>
              <w:t>7</w:t>
            </w:r>
            <w:r>
              <w:rPr>
                <w:rFonts w:asciiTheme="minorHAnsi" w:eastAsiaTheme="minorEastAsia" w:hAnsiTheme="minorHAnsi" w:cstheme="minorBidi"/>
                <w:noProof/>
                <w:shd w:val="clear" w:color="auto" w:fill="auto"/>
              </w:rPr>
              <w:tab/>
            </w:r>
            <w:r w:rsidRPr="005D1FC9">
              <w:rPr>
                <w:rStyle w:val="Hyperlink"/>
                <w:noProof/>
              </w:rPr>
              <w:t>Alternatives to treatment</w:t>
            </w:r>
            <w:r>
              <w:rPr>
                <w:noProof/>
                <w:webHidden/>
              </w:rPr>
              <w:tab/>
            </w:r>
            <w:r>
              <w:rPr>
                <w:noProof/>
                <w:webHidden/>
              </w:rPr>
              <w:fldChar w:fldCharType="begin"/>
            </w:r>
            <w:r>
              <w:rPr>
                <w:noProof/>
                <w:webHidden/>
              </w:rPr>
              <w:instrText xml:space="preserve"> PAGEREF _Toc198802247 \h </w:instrText>
            </w:r>
            <w:r>
              <w:rPr>
                <w:noProof/>
                <w:webHidden/>
              </w:rPr>
            </w:r>
            <w:r>
              <w:rPr>
                <w:noProof/>
                <w:webHidden/>
              </w:rPr>
              <w:fldChar w:fldCharType="separate"/>
            </w:r>
            <w:r w:rsidR="008E1B59">
              <w:rPr>
                <w:noProof/>
                <w:webHidden/>
              </w:rPr>
              <w:t>7</w:t>
            </w:r>
            <w:r>
              <w:rPr>
                <w:noProof/>
                <w:webHidden/>
              </w:rPr>
              <w:fldChar w:fldCharType="end"/>
            </w:r>
          </w:hyperlink>
        </w:p>
        <w:p w14:paraId="18135254" w14:textId="141923E4"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48" w:history="1">
            <w:r w:rsidRPr="005D1FC9">
              <w:rPr>
                <w:rStyle w:val="Hyperlink"/>
                <w:noProof/>
              </w:rPr>
              <w:t>8</w:t>
            </w:r>
            <w:r>
              <w:rPr>
                <w:rFonts w:asciiTheme="minorHAnsi" w:eastAsiaTheme="minorEastAsia" w:hAnsiTheme="minorHAnsi" w:cstheme="minorBidi"/>
                <w:noProof/>
                <w:shd w:val="clear" w:color="auto" w:fill="auto"/>
              </w:rPr>
              <w:tab/>
            </w:r>
            <w:r w:rsidRPr="005D1FC9">
              <w:rPr>
                <w:rStyle w:val="Hyperlink"/>
                <w:noProof/>
              </w:rPr>
              <w:t>References</w:t>
            </w:r>
            <w:r>
              <w:rPr>
                <w:noProof/>
                <w:webHidden/>
              </w:rPr>
              <w:tab/>
            </w:r>
            <w:r>
              <w:rPr>
                <w:noProof/>
                <w:webHidden/>
              </w:rPr>
              <w:fldChar w:fldCharType="begin"/>
            </w:r>
            <w:r>
              <w:rPr>
                <w:noProof/>
                <w:webHidden/>
              </w:rPr>
              <w:instrText xml:space="preserve"> PAGEREF _Toc198802248 \h </w:instrText>
            </w:r>
            <w:r>
              <w:rPr>
                <w:noProof/>
                <w:webHidden/>
              </w:rPr>
            </w:r>
            <w:r>
              <w:rPr>
                <w:noProof/>
                <w:webHidden/>
              </w:rPr>
              <w:fldChar w:fldCharType="separate"/>
            </w:r>
            <w:r w:rsidR="008E1B59">
              <w:rPr>
                <w:noProof/>
                <w:webHidden/>
              </w:rPr>
              <w:t>8</w:t>
            </w:r>
            <w:r>
              <w:rPr>
                <w:noProof/>
                <w:webHidden/>
              </w:rPr>
              <w:fldChar w:fldCharType="end"/>
            </w:r>
          </w:hyperlink>
        </w:p>
        <w:p w14:paraId="384A2154" w14:textId="2DA81BDC" w:rsidR="00913A9C" w:rsidRDefault="00913A9C">
          <w:pPr>
            <w:pStyle w:val="TOC1"/>
            <w:tabs>
              <w:tab w:val="left" w:pos="480"/>
              <w:tab w:val="right" w:leader="dot" w:pos="9016"/>
            </w:tabs>
            <w:rPr>
              <w:rFonts w:asciiTheme="minorHAnsi" w:eastAsiaTheme="minorEastAsia" w:hAnsiTheme="minorHAnsi" w:cstheme="minorBidi"/>
              <w:noProof/>
              <w:shd w:val="clear" w:color="auto" w:fill="auto"/>
            </w:rPr>
          </w:pPr>
          <w:hyperlink w:anchor="_Toc198802249" w:history="1">
            <w:r w:rsidRPr="005D1FC9">
              <w:rPr>
                <w:rStyle w:val="Hyperlink"/>
                <w:noProof/>
              </w:rPr>
              <w:t>9</w:t>
            </w:r>
            <w:r>
              <w:rPr>
                <w:rFonts w:asciiTheme="minorHAnsi" w:eastAsiaTheme="minorEastAsia" w:hAnsiTheme="minorHAnsi" w:cstheme="minorBidi"/>
                <w:noProof/>
                <w:shd w:val="clear" w:color="auto" w:fill="auto"/>
              </w:rPr>
              <w:tab/>
            </w:r>
            <w:r w:rsidRPr="005D1FC9">
              <w:rPr>
                <w:rStyle w:val="Hyperlink"/>
                <w:noProof/>
              </w:rPr>
              <w:t>Appendices</w:t>
            </w:r>
            <w:r>
              <w:rPr>
                <w:noProof/>
                <w:webHidden/>
              </w:rPr>
              <w:tab/>
            </w:r>
            <w:r>
              <w:rPr>
                <w:noProof/>
                <w:webHidden/>
              </w:rPr>
              <w:fldChar w:fldCharType="begin"/>
            </w:r>
            <w:r>
              <w:rPr>
                <w:noProof/>
                <w:webHidden/>
              </w:rPr>
              <w:instrText xml:space="preserve"> PAGEREF _Toc198802249 \h </w:instrText>
            </w:r>
            <w:r>
              <w:rPr>
                <w:noProof/>
                <w:webHidden/>
              </w:rPr>
            </w:r>
            <w:r>
              <w:rPr>
                <w:noProof/>
                <w:webHidden/>
              </w:rPr>
              <w:fldChar w:fldCharType="separate"/>
            </w:r>
            <w:r w:rsidR="008E1B59">
              <w:rPr>
                <w:noProof/>
                <w:webHidden/>
              </w:rPr>
              <w:t>9</w:t>
            </w:r>
            <w:r>
              <w:rPr>
                <w:noProof/>
                <w:webHidden/>
              </w:rPr>
              <w:fldChar w:fldCharType="end"/>
            </w:r>
          </w:hyperlink>
        </w:p>
        <w:p w14:paraId="0EED71EE" w14:textId="67F37F6D" w:rsidR="00913A9C" w:rsidRDefault="00913A9C">
          <w:pPr>
            <w:pStyle w:val="TOC2"/>
            <w:tabs>
              <w:tab w:val="left" w:pos="960"/>
              <w:tab w:val="right" w:leader="dot" w:pos="9016"/>
            </w:tabs>
            <w:rPr>
              <w:rFonts w:asciiTheme="minorHAnsi" w:eastAsiaTheme="minorEastAsia" w:hAnsiTheme="minorHAnsi" w:cstheme="minorBidi"/>
              <w:noProof/>
              <w:shd w:val="clear" w:color="auto" w:fill="auto"/>
            </w:rPr>
          </w:pPr>
          <w:hyperlink w:anchor="_Toc198802250" w:history="1">
            <w:r w:rsidRPr="005D1FC9">
              <w:rPr>
                <w:rStyle w:val="Hyperlink"/>
                <w:noProof/>
              </w:rPr>
              <w:t>9.1</w:t>
            </w:r>
            <w:r>
              <w:rPr>
                <w:rFonts w:asciiTheme="minorHAnsi" w:eastAsiaTheme="minorEastAsia" w:hAnsiTheme="minorHAnsi" w:cstheme="minorBidi"/>
                <w:noProof/>
                <w:shd w:val="clear" w:color="auto" w:fill="auto"/>
              </w:rPr>
              <w:tab/>
            </w:r>
            <w:r w:rsidRPr="005D1FC9">
              <w:rPr>
                <w:rStyle w:val="Hyperlink"/>
                <w:noProof/>
              </w:rPr>
              <w:t>Appendix 1–Searching and screening method</w:t>
            </w:r>
            <w:r>
              <w:rPr>
                <w:noProof/>
                <w:webHidden/>
              </w:rPr>
              <w:tab/>
            </w:r>
            <w:r>
              <w:rPr>
                <w:noProof/>
                <w:webHidden/>
              </w:rPr>
              <w:fldChar w:fldCharType="begin"/>
            </w:r>
            <w:r>
              <w:rPr>
                <w:noProof/>
                <w:webHidden/>
              </w:rPr>
              <w:instrText xml:space="preserve"> PAGEREF _Toc198802250 \h </w:instrText>
            </w:r>
            <w:r>
              <w:rPr>
                <w:noProof/>
                <w:webHidden/>
              </w:rPr>
            </w:r>
            <w:r>
              <w:rPr>
                <w:noProof/>
                <w:webHidden/>
              </w:rPr>
              <w:fldChar w:fldCharType="separate"/>
            </w:r>
            <w:r w:rsidR="008E1B59">
              <w:rPr>
                <w:noProof/>
                <w:webHidden/>
              </w:rPr>
              <w:t>9</w:t>
            </w:r>
            <w:r>
              <w:rPr>
                <w:noProof/>
                <w:webHidden/>
              </w:rPr>
              <w:fldChar w:fldCharType="end"/>
            </w:r>
          </w:hyperlink>
        </w:p>
        <w:p w14:paraId="463865D7" w14:textId="2EB1BEDA" w:rsidR="00913A9C" w:rsidRDefault="00913A9C">
          <w:pPr>
            <w:pStyle w:val="TOC2"/>
            <w:tabs>
              <w:tab w:val="left" w:pos="960"/>
              <w:tab w:val="right" w:leader="dot" w:pos="9016"/>
            </w:tabs>
            <w:rPr>
              <w:rFonts w:asciiTheme="minorHAnsi" w:eastAsiaTheme="minorEastAsia" w:hAnsiTheme="minorHAnsi" w:cstheme="minorBidi"/>
              <w:noProof/>
              <w:shd w:val="clear" w:color="auto" w:fill="auto"/>
            </w:rPr>
          </w:pPr>
          <w:hyperlink w:anchor="_Toc198802251" w:history="1">
            <w:r w:rsidRPr="005D1FC9">
              <w:rPr>
                <w:rStyle w:val="Hyperlink"/>
                <w:noProof/>
              </w:rPr>
              <w:t>9.2</w:t>
            </w:r>
            <w:r>
              <w:rPr>
                <w:rFonts w:asciiTheme="minorHAnsi" w:eastAsiaTheme="minorEastAsia" w:hAnsiTheme="minorHAnsi" w:cstheme="minorBidi"/>
                <w:noProof/>
                <w:shd w:val="clear" w:color="auto" w:fill="auto"/>
              </w:rPr>
              <w:tab/>
            </w:r>
            <w:r w:rsidRPr="005D1FC9">
              <w:rPr>
                <w:rStyle w:val="Hyperlink"/>
                <w:noProof/>
              </w:rPr>
              <w:t>Appendix 2–Search strategy</w:t>
            </w:r>
            <w:r>
              <w:rPr>
                <w:noProof/>
                <w:webHidden/>
              </w:rPr>
              <w:tab/>
            </w:r>
            <w:r>
              <w:rPr>
                <w:noProof/>
                <w:webHidden/>
              </w:rPr>
              <w:fldChar w:fldCharType="begin"/>
            </w:r>
            <w:r>
              <w:rPr>
                <w:noProof/>
                <w:webHidden/>
              </w:rPr>
              <w:instrText xml:space="preserve"> PAGEREF _Toc198802251 \h </w:instrText>
            </w:r>
            <w:r>
              <w:rPr>
                <w:noProof/>
                <w:webHidden/>
              </w:rPr>
            </w:r>
            <w:r>
              <w:rPr>
                <w:noProof/>
                <w:webHidden/>
              </w:rPr>
              <w:fldChar w:fldCharType="separate"/>
            </w:r>
            <w:r w:rsidR="008E1B59">
              <w:rPr>
                <w:noProof/>
                <w:webHidden/>
              </w:rPr>
              <w:t>9</w:t>
            </w:r>
            <w:r>
              <w:rPr>
                <w:noProof/>
                <w:webHidden/>
              </w:rPr>
              <w:fldChar w:fldCharType="end"/>
            </w:r>
          </w:hyperlink>
        </w:p>
        <w:p w14:paraId="25060BC4" w14:textId="1064E868"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749D59FE" w14:textId="2AA39C24" w:rsidR="003E1514" w:rsidRPr="001636EF" w:rsidRDefault="00665F36" w:rsidP="00250019">
      <w:pPr>
        <w:pStyle w:val="Heading1"/>
      </w:pPr>
      <w:bookmarkStart w:id="0" w:name="_Toc198802224"/>
      <w:bookmarkStart w:id="1" w:name="_Toc182494402"/>
      <w:bookmarkStart w:id="2" w:name="_Toc182801996"/>
      <w:r w:rsidRPr="001636EF">
        <w:lastRenderedPageBreak/>
        <w:t>Questions</w:t>
      </w:r>
      <w:bookmarkEnd w:id="0"/>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250019">
      <w:pPr>
        <w:pStyle w:val="Heading1"/>
      </w:pPr>
      <w:bookmarkStart w:id="3" w:name="_Toc198802225"/>
      <w:r w:rsidRPr="001636EF">
        <w:t>Method</w:t>
      </w:r>
      <w:r w:rsidR="005730D2" w:rsidRPr="001636EF">
        <w:t xml:space="preserve"> and </w:t>
      </w:r>
      <w:r w:rsidRPr="001636EF">
        <w:t>approach</w:t>
      </w:r>
      <w:bookmarkEnd w:id="1"/>
      <w:bookmarkEnd w:id="2"/>
      <w:bookmarkEnd w:id="3"/>
    </w:p>
    <w:p w14:paraId="1BCD62DF" w14:textId="481B6EB1" w:rsidR="00E96631" w:rsidRDefault="000B27B0" w:rsidP="00B15943">
      <w:r>
        <w:t xml:space="preserve">We carried out systematic searches </w:t>
      </w:r>
      <w:r w:rsidR="00F60BA3">
        <w:t>in May</w:t>
      </w:r>
      <w:r>
        <w:t xml:space="preserve"> 2025 to identify systematic reviews, guidelines and other evidence-based reports. We limited searches to the past ten years and English language publications and websites. We screened the literature search results for relevance to the topic. </w:t>
      </w:r>
      <w:r w:rsidR="00CE07D0">
        <w:t>Because of</w:t>
      </w:r>
      <w:r>
        <w:t xml:space="preserve"> the high-level nature of the searches, there is the possibility that we did not include all relevant evidence. We used evidence from trusted sources; however, we did not critically appraise the evidence. </w:t>
      </w:r>
      <w:r w:rsidR="00047A34">
        <w:t xml:space="preserve">The findings are summarised in </w:t>
      </w:r>
      <w:r w:rsidR="00E13846">
        <w:t>the following sections</w:t>
      </w:r>
      <w:r w:rsidR="00727C5B">
        <w:t>.</w:t>
      </w:r>
      <w:r>
        <w:t xml:space="preserve"> </w:t>
      </w:r>
      <w:r w:rsidR="00075F6A">
        <w:t xml:space="preserve">Appendices </w:t>
      </w:r>
      <w:r w:rsidR="00482AB2">
        <w:t>1 and 2 detail</w:t>
      </w:r>
      <w:r w:rsidR="00A94953">
        <w:t xml:space="preserve"> the </w:t>
      </w:r>
      <w:r w:rsidR="001D2301">
        <w:t>searching and screening method and search strategy</w:t>
      </w:r>
      <w:r w:rsidR="00C54B80">
        <w:t>.</w:t>
      </w:r>
    </w:p>
    <w:p w14:paraId="42FF6092" w14:textId="77777777" w:rsidR="00A65C9C" w:rsidRPr="001636EF" w:rsidRDefault="00A65C9C" w:rsidP="00B15943"/>
    <w:p w14:paraId="6F55D2F2" w14:textId="74500D23" w:rsidR="00690613" w:rsidRPr="00A65C9C" w:rsidRDefault="00AE7B08" w:rsidP="00690613">
      <w:pPr>
        <w:pStyle w:val="Heading1"/>
      </w:pPr>
      <w:bookmarkStart w:id="4" w:name="_Toc198802226"/>
      <w:r w:rsidRPr="00B42BC8">
        <w:t>Referral criteria</w:t>
      </w:r>
      <w:bookmarkEnd w:id="4"/>
    </w:p>
    <w:p w14:paraId="1BDFAB4E" w14:textId="73F37C92" w:rsidR="00690613" w:rsidRDefault="00690613" w:rsidP="00690613">
      <w:r w:rsidRPr="00690613">
        <w:t>The Academy of Medical Royal Colleges (AOMRC)</w:t>
      </w:r>
      <w:r w:rsidR="008E1B59">
        <w:t>,</w:t>
      </w:r>
      <w:r>
        <w:t xml:space="preserve"> in its latest statutory guidance</w:t>
      </w:r>
      <w:r w:rsidR="007B6A61">
        <w:t xml:space="preserve"> </w:t>
      </w:r>
      <w:r w:rsidR="00C56F7D">
        <w:t xml:space="preserve">for England </w:t>
      </w:r>
      <w:r w:rsidR="007B6A61">
        <w:t>(</w:t>
      </w:r>
      <w:r>
        <w:t>reviewed September 2024</w:t>
      </w:r>
      <w:r w:rsidR="007B6A61">
        <w:t>)</w:t>
      </w:r>
      <w:r>
        <w:t xml:space="preserve">, states that </w:t>
      </w:r>
      <w:r w:rsidRPr="00690613">
        <w:t>patients with asymptomatic varicose veins</w:t>
      </w:r>
      <w:r w:rsidR="00F62A7C">
        <w:t>,</w:t>
      </w:r>
      <w:r w:rsidRPr="00690613">
        <w:t xml:space="preserve"> who wish to have treatment for purely cosmetic reasons</w:t>
      </w:r>
      <w:r w:rsidR="00F62A7C">
        <w:t xml:space="preserve">, </w:t>
      </w:r>
      <w:r w:rsidR="00F62A7C" w:rsidRPr="00690613">
        <w:t>should not be offered NHS treatment</w:t>
      </w:r>
      <w:r w:rsidR="00F62A7C">
        <w:t>.</w:t>
      </w:r>
      <w:r w:rsidR="00F62A7C" w:rsidRPr="00F62A7C">
        <w:rPr>
          <w:vertAlign w:val="superscript"/>
        </w:rPr>
        <w:t>1</w:t>
      </w:r>
      <w:r w:rsidR="00F62A7C">
        <w:t xml:space="preserve"> </w:t>
      </w:r>
    </w:p>
    <w:p w14:paraId="1D0D5569" w14:textId="037DDEAF" w:rsidR="00F62A7C" w:rsidRDefault="00F62A7C" w:rsidP="00690613">
      <w:r>
        <w:t xml:space="preserve">They recommend </w:t>
      </w:r>
      <w:r w:rsidR="004F0C62">
        <w:t xml:space="preserve">that </w:t>
      </w:r>
      <w:r w:rsidR="008D1D17">
        <w:t xml:space="preserve">symptomatic </w:t>
      </w:r>
      <w:r>
        <w:t>patients have:</w:t>
      </w:r>
    </w:p>
    <w:p w14:paraId="30DE6B75" w14:textId="5040F085" w:rsidR="00F62A7C" w:rsidRDefault="00F62A7C" w:rsidP="008D3355">
      <w:pPr>
        <w:pStyle w:val="ListParagraph"/>
        <w:numPr>
          <w:ilvl w:val="0"/>
          <w:numId w:val="3"/>
        </w:numPr>
      </w:pPr>
      <w:r w:rsidRPr="006B6BD8">
        <w:rPr>
          <w:color w:val="000000" w:themeColor="text1"/>
        </w:rPr>
        <w:t xml:space="preserve">an urgent referral (within 2 weeks) </w:t>
      </w:r>
      <w:r w:rsidR="006C566A" w:rsidRPr="006B6BD8">
        <w:rPr>
          <w:color w:val="000000" w:themeColor="text1"/>
        </w:rPr>
        <w:t xml:space="preserve">to a vascular service </w:t>
      </w:r>
      <w:r w:rsidRPr="006B6BD8">
        <w:rPr>
          <w:color w:val="000000" w:themeColor="text1"/>
        </w:rPr>
        <w:t>for</w:t>
      </w:r>
      <w:r>
        <w:t xml:space="preserve"> bleeding varicose veins requiring treatment, a venous leg ulcer (that has not healed within</w:t>
      </w:r>
      <w:r w:rsidR="006B6BD8">
        <w:t xml:space="preserve"> 2</w:t>
      </w:r>
      <w:r>
        <w:t xml:space="preserve"> weeks), or superficial vein thrombosis (thrombophlebitis) and suspected venous incompetence</w:t>
      </w:r>
    </w:p>
    <w:p w14:paraId="76E4BB2A" w14:textId="61BA105B" w:rsidR="00F62A7C" w:rsidRDefault="00F62A7C" w:rsidP="008D3355">
      <w:pPr>
        <w:pStyle w:val="ListParagraph"/>
        <w:numPr>
          <w:ilvl w:val="0"/>
          <w:numId w:val="3"/>
        </w:numPr>
      </w:pPr>
      <w:r>
        <w:t xml:space="preserve">a routine referral </w:t>
      </w:r>
      <w:r w:rsidR="002B1AFF" w:rsidRPr="00FB702D">
        <w:rPr>
          <w:color w:val="000000" w:themeColor="text1"/>
        </w:rPr>
        <w:t xml:space="preserve">to a vascular service </w:t>
      </w:r>
      <w:r>
        <w:t>for symptomatic primary or recurrent varicose veins, lower</w:t>
      </w:r>
      <w:r w:rsidR="008E1B59">
        <w:t>-</w:t>
      </w:r>
      <w:r>
        <w:t>limb skin changes (thought to be caused by chronic venous insufficiency), or a healed venous leg ulcer.</w:t>
      </w:r>
      <w:r w:rsidR="00AA2586">
        <w:t xml:space="preserve"> ’Symptomatic’ </w:t>
      </w:r>
      <w:r w:rsidR="00742B3D">
        <w:t xml:space="preserve">in this context means </w:t>
      </w:r>
      <w:r w:rsidR="00A156F2">
        <w:t>v</w:t>
      </w:r>
      <w:r w:rsidR="00742B3D" w:rsidRPr="00742B3D">
        <w:t>eins found in association with troublesome lower</w:t>
      </w:r>
      <w:r w:rsidR="008E1B59">
        <w:t>-</w:t>
      </w:r>
      <w:r w:rsidR="00742B3D" w:rsidRPr="00742B3D">
        <w:t>limb symptoms (typically pain, aching, discomfort, swelling, heaviness and itching</w:t>
      </w:r>
      <w:r w:rsidR="006B6BD8">
        <w:t>).</w:t>
      </w:r>
    </w:p>
    <w:p w14:paraId="368DA9B4" w14:textId="0104F737" w:rsidR="00AF029B" w:rsidRDefault="00AF029B" w:rsidP="00295F42"/>
    <w:p w14:paraId="2454D87B" w14:textId="2F9A31B8" w:rsidR="00C620EE" w:rsidRDefault="00306CBA" w:rsidP="00295F42">
      <w:r>
        <w:t xml:space="preserve">The National Institute for </w:t>
      </w:r>
      <w:r w:rsidR="00F63A6D">
        <w:t xml:space="preserve">Health and </w:t>
      </w:r>
      <w:r>
        <w:t xml:space="preserve">Care </w:t>
      </w:r>
      <w:r w:rsidR="00F63A6D">
        <w:t>Excellence</w:t>
      </w:r>
      <w:r w:rsidR="0094163F">
        <w:t xml:space="preserve"> (NICE)</w:t>
      </w:r>
      <w:r w:rsidR="00F63A6D">
        <w:t xml:space="preserve"> i</w:t>
      </w:r>
      <w:r w:rsidR="00C620EE">
        <w:t xml:space="preserve">n </w:t>
      </w:r>
      <w:r>
        <w:t>its 2013 guideli</w:t>
      </w:r>
      <w:r w:rsidR="00F63A6D">
        <w:t xml:space="preserve">ne </w:t>
      </w:r>
      <w:r w:rsidR="0019018A">
        <w:t>on varicose veins</w:t>
      </w:r>
      <w:r w:rsidR="0094163F">
        <w:t xml:space="preserve"> (</w:t>
      </w:r>
      <w:r w:rsidR="005B5238">
        <w:t>C</w:t>
      </w:r>
      <w:r w:rsidR="0094163F">
        <w:t>G168)</w:t>
      </w:r>
      <w:r w:rsidR="0019018A">
        <w:t xml:space="preserve"> lists the following vascular service referral criteria:</w:t>
      </w:r>
      <w:r w:rsidR="00CD33A6" w:rsidRPr="00FB702D">
        <w:rPr>
          <w:vertAlign w:val="superscript"/>
        </w:rPr>
        <w:t>2</w:t>
      </w:r>
    </w:p>
    <w:p w14:paraId="39586368" w14:textId="2BA92EF9" w:rsidR="00074656" w:rsidRDefault="00BE5369" w:rsidP="00074656">
      <w:pPr>
        <w:pStyle w:val="ListParagraph"/>
        <w:numPr>
          <w:ilvl w:val="0"/>
          <w:numId w:val="25"/>
        </w:numPr>
      </w:pPr>
      <w:r>
        <w:t xml:space="preserve">Patients with </w:t>
      </w:r>
      <w:r w:rsidRPr="00BE5369">
        <w:t xml:space="preserve">bleeding varicose veins </w:t>
      </w:r>
      <w:r w:rsidR="006E3925">
        <w:t>should be referred</w:t>
      </w:r>
      <w:r w:rsidRPr="00BE5369">
        <w:t xml:space="preserve"> immediately</w:t>
      </w:r>
      <w:r w:rsidR="00CD33A6">
        <w:t>.</w:t>
      </w:r>
    </w:p>
    <w:p w14:paraId="089A9EE9" w14:textId="28A1AF18" w:rsidR="006E3925" w:rsidRDefault="006E3925" w:rsidP="00074656">
      <w:pPr>
        <w:pStyle w:val="ListParagraph"/>
        <w:numPr>
          <w:ilvl w:val="0"/>
          <w:numId w:val="25"/>
        </w:numPr>
      </w:pPr>
      <w:r>
        <w:lastRenderedPageBreak/>
        <w:t xml:space="preserve">Patients with </w:t>
      </w:r>
      <w:r w:rsidR="00BC2767" w:rsidRPr="00BC2767">
        <w:t>any of the following</w:t>
      </w:r>
      <w:r w:rsidR="006A3FD2">
        <w:t xml:space="preserve"> </w:t>
      </w:r>
      <w:r w:rsidR="00BC2767">
        <w:t xml:space="preserve">should be referred </w:t>
      </w:r>
      <w:r w:rsidR="006A3FD2">
        <w:t>routinely:</w:t>
      </w:r>
    </w:p>
    <w:p w14:paraId="37EFAC1B" w14:textId="1DFCF361" w:rsidR="008E74C1" w:rsidRDefault="00CD33A6" w:rsidP="00C6033C">
      <w:pPr>
        <w:pStyle w:val="ListParagraph"/>
        <w:numPr>
          <w:ilvl w:val="0"/>
          <w:numId w:val="26"/>
        </w:numPr>
      </w:pPr>
      <w:r>
        <w:t>s</w:t>
      </w:r>
      <w:r w:rsidR="008E74C1">
        <w:t>ymptomatic primary or symptomatic recurrent varicose veins. Symptomatic veins are veins found in association with troublesome lower limb symptoms (typically pain, aching, discomfort, swelling, heaviness and itching</w:t>
      </w:r>
      <w:r w:rsidR="003B7414">
        <w:t>)</w:t>
      </w:r>
    </w:p>
    <w:p w14:paraId="23A78C85" w14:textId="2228800A" w:rsidR="008E74C1" w:rsidRDefault="00CD33A6" w:rsidP="00C6033C">
      <w:pPr>
        <w:pStyle w:val="ListParagraph"/>
        <w:numPr>
          <w:ilvl w:val="0"/>
          <w:numId w:val="26"/>
        </w:numPr>
      </w:pPr>
      <w:r>
        <w:t>l</w:t>
      </w:r>
      <w:r w:rsidR="008E74C1">
        <w:t>ower</w:t>
      </w:r>
      <w:r w:rsidR="008E74C1" w:rsidRPr="0072394A">
        <w:rPr>
          <w:rFonts w:ascii="Cambria Math" w:hAnsi="Cambria Math" w:cs="Cambria Math"/>
        </w:rPr>
        <w:t>‑</w:t>
      </w:r>
      <w:r w:rsidR="008E74C1">
        <w:t>limb skin changes, such as pigmentation or eczema, thought to be caused b</w:t>
      </w:r>
      <w:r w:rsidR="00976BEE">
        <w:t xml:space="preserve">y </w:t>
      </w:r>
      <w:r w:rsidR="008E74C1">
        <w:t>chronic venous insufficiency</w:t>
      </w:r>
    </w:p>
    <w:p w14:paraId="7846D331" w14:textId="06C4C4F2" w:rsidR="008E74C1" w:rsidRDefault="00CD33A6" w:rsidP="00C6033C">
      <w:pPr>
        <w:pStyle w:val="ListParagraph"/>
        <w:numPr>
          <w:ilvl w:val="0"/>
          <w:numId w:val="26"/>
        </w:numPr>
      </w:pPr>
      <w:r>
        <w:t>s</w:t>
      </w:r>
      <w:r w:rsidR="008E74C1">
        <w:t>uperficial vein thrombosis (characterised by the appearance of hard, painful veins) and suspected venous incompetence</w:t>
      </w:r>
    </w:p>
    <w:p w14:paraId="1E760902" w14:textId="45C42C10" w:rsidR="008E74C1" w:rsidRDefault="00CD33A6" w:rsidP="00C6033C">
      <w:pPr>
        <w:pStyle w:val="ListParagraph"/>
        <w:numPr>
          <w:ilvl w:val="0"/>
          <w:numId w:val="26"/>
        </w:numPr>
      </w:pPr>
      <w:r>
        <w:t>a</w:t>
      </w:r>
      <w:r w:rsidR="008E74C1">
        <w:t xml:space="preserve"> venous leg ulcer (a break in the skin below the knee that has not healed within 2 weeks)</w:t>
      </w:r>
    </w:p>
    <w:p w14:paraId="320B1CCE" w14:textId="11DB4BD7" w:rsidR="006A3FD2" w:rsidRDefault="00CD33A6" w:rsidP="0072394A">
      <w:pPr>
        <w:pStyle w:val="ListParagraph"/>
        <w:numPr>
          <w:ilvl w:val="0"/>
          <w:numId w:val="26"/>
        </w:numPr>
      </w:pPr>
      <w:r>
        <w:t>a</w:t>
      </w:r>
      <w:r w:rsidR="008E74C1">
        <w:t xml:space="preserve"> healed venous leg ulcer</w:t>
      </w:r>
      <w:r>
        <w:t>.</w:t>
      </w:r>
    </w:p>
    <w:p w14:paraId="069B2702" w14:textId="77777777" w:rsidR="00EA48C4" w:rsidRDefault="00EA48C4"/>
    <w:p w14:paraId="52E286D1" w14:textId="1DAB8949" w:rsidR="00CD33A6" w:rsidRDefault="00CD33A6" w:rsidP="005A6888">
      <w:r>
        <w:t xml:space="preserve">In cases of bleeding varicose </w:t>
      </w:r>
      <w:r w:rsidR="00020078">
        <w:t>veins,</w:t>
      </w:r>
      <w:r>
        <w:t xml:space="preserve"> the NICE clinical knowledge summary (updated 2024) advises </w:t>
      </w:r>
      <w:r w:rsidR="00F353BD">
        <w:t xml:space="preserve">that </w:t>
      </w:r>
      <w:r w:rsidRPr="000B363F">
        <w:t xml:space="preserve">first aid should be offered and </w:t>
      </w:r>
      <w:r>
        <w:t xml:space="preserve">urgent referral </w:t>
      </w:r>
      <w:r w:rsidRPr="000B363F">
        <w:t>arranged to a vascular service.</w:t>
      </w:r>
      <w:r w:rsidR="00B424B3">
        <w:rPr>
          <w:vertAlign w:val="superscript"/>
        </w:rPr>
        <w:t>3</w:t>
      </w:r>
      <w:r>
        <w:t xml:space="preserve"> </w:t>
      </w:r>
      <w:r w:rsidRPr="00433B1A">
        <w:t>For varicose veins that are not bleeding</w:t>
      </w:r>
      <w:r w:rsidR="00F353BD">
        <w:t>,</w:t>
      </w:r>
      <w:r w:rsidRPr="00433B1A">
        <w:t xml:space="preserve"> referral to a vascular service </w:t>
      </w:r>
      <w:r>
        <w:t xml:space="preserve">should be </w:t>
      </w:r>
      <w:r w:rsidRPr="00433B1A">
        <w:t>consider</w:t>
      </w:r>
      <w:r>
        <w:t>ed</w:t>
      </w:r>
      <w:r w:rsidRPr="00433B1A">
        <w:t xml:space="preserve"> </w:t>
      </w:r>
      <w:r>
        <w:t>for potential</w:t>
      </w:r>
      <w:r w:rsidRPr="00433B1A">
        <w:t xml:space="preserve"> interventional treatment (endothermal ablation, foam sclerotherapy</w:t>
      </w:r>
      <w:r w:rsidR="008050C7">
        <w:t xml:space="preserve"> or</w:t>
      </w:r>
      <w:r w:rsidRPr="00433B1A">
        <w:t xml:space="preserve"> surgery).</w:t>
      </w:r>
    </w:p>
    <w:p w14:paraId="5E155D2F" w14:textId="17C17E5E" w:rsidR="00744DAF" w:rsidRDefault="009875B9" w:rsidP="009875B9">
      <w:r>
        <w:t>B</w:t>
      </w:r>
      <w:r w:rsidR="00721578">
        <w:t>ritish Medical Journal (BMJ)</w:t>
      </w:r>
      <w:r>
        <w:t xml:space="preserve"> Best Practice</w:t>
      </w:r>
      <w:r w:rsidR="00CD33A6">
        <w:t xml:space="preserve"> confirms that </w:t>
      </w:r>
      <w:r w:rsidR="000A3DAA" w:rsidRPr="000A3DAA">
        <w:t>ulceration and bleeding from varic</w:t>
      </w:r>
      <w:r w:rsidR="001A5BCF">
        <w:t>ose veins</w:t>
      </w:r>
      <w:r w:rsidR="000A3DAA" w:rsidRPr="000A3DAA">
        <w:t xml:space="preserve"> </w:t>
      </w:r>
      <w:r w:rsidR="00CD33A6">
        <w:t xml:space="preserve">are criteria for </w:t>
      </w:r>
      <w:r w:rsidR="000A3DAA" w:rsidRPr="000A3DAA">
        <w:t>urgent referral</w:t>
      </w:r>
      <w:r w:rsidR="009F6E4D">
        <w:t>.</w:t>
      </w:r>
      <w:r w:rsidR="00B424B3">
        <w:rPr>
          <w:vertAlign w:val="superscript"/>
        </w:rPr>
        <w:t>4</w:t>
      </w:r>
      <w:r w:rsidR="009F6E4D">
        <w:t xml:space="preserve"> </w:t>
      </w:r>
      <w:r w:rsidR="00CD33A6">
        <w:t xml:space="preserve">It highlights that </w:t>
      </w:r>
      <w:r w:rsidR="00B31B8B">
        <w:t>b</w:t>
      </w:r>
      <w:r w:rsidR="009F6E4D">
        <w:t xml:space="preserve">leeding </w:t>
      </w:r>
      <w:r w:rsidR="00A901B1">
        <w:t xml:space="preserve">might </w:t>
      </w:r>
      <w:r w:rsidR="009F6E4D" w:rsidRPr="009F6E4D">
        <w:t xml:space="preserve">lead to occasional death in </w:t>
      </w:r>
      <w:r w:rsidR="00CD33A6">
        <w:t>frail</w:t>
      </w:r>
      <w:r w:rsidR="00A901B1">
        <w:t xml:space="preserve"> patients.</w:t>
      </w:r>
    </w:p>
    <w:p w14:paraId="44FC12F2" w14:textId="3A126088" w:rsidR="00A16731" w:rsidRPr="00A16731" w:rsidRDefault="00A16731" w:rsidP="009875B9">
      <w:r>
        <w:t xml:space="preserve">The </w:t>
      </w:r>
      <w:r w:rsidRPr="000B13D0">
        <w:t xml:space="preserve">Society for Vascular Surgery, American Venous Forum, and American Vein and Lymphatic Society </w:t>
      </w:r>
      <w:r>
        <w:t>(SVS, AVF and AVLS) guideline</w:t>
      </w:r>
      <w:r w:rsidR="006A53E1">
        <w:t>s</w:t>
      </w:r>
      <w:r>
        <w:t xml:space="preserve"> (2023)</w:t>
      </w:r>
      <w:r w:rsidR="00F353BD">
        <w:t>,</w:t>
      </w:r>
      <w:r>
        <w:rPr>
          <w:vertAlign w:val="superscript"/>
        </w:rPr>
        <w:t xml:space="preserve"> </w:t>
      </w:r>
      <w:r w:rsidR="006A53E1">
        <w:t>in statement 13.2</w:t>
      </w:r>
      <w:r w:rsidR="00F353BD">
        <w:t>,</w:t>
      </w:r>
      <w:r w:rsidR="006A53E1">
        <w:t xml:space="preserve"> </w:t>
      </w:r>
      <w:r w:rsidR="00DB29CF">
        <w:t xml:space="preserve">affirm </w:t>
      </w:r>
      <w:r w:rsidR="00472322">
        <w:t>the requirement for urgent referral in cases of bleeding varicose veins</w:t>
      </w:r>
      <w:r w:rsidR="006A53E1">
        <w:t>.</w:t>
      </w:r>
      <w:r w:rsidR="00D569F0" w:rsidRPr="006F1F5C">
        <w:rPr>
          <w:vertAlign w:val="superscript"/>
        </w:rPr>
        <w:t>5</w:t>
      </w:r>
      <w:r w:rsidR="00D569F0">
        <w:rPr>
          <w:vertAlign w:val="superscript"/>
        </w:rPr>
        <w:t xml:space="preserve"> </w:t>
      </w:r>
      <w:r w:rsidR="00732DC1">
        <w:t xml:space="preserve"> </w:t>
      </w:r>
      <w:r w:rsidR="00761B83">
        <w:t>Th</w:t>
      </w:r>
      <w:r w:rsidR="007B4823">
        <w:t>is</w:t>
      </w:r>
      <w:r w:rsidR="00761B83">
        <w:t xml:space="preserve"> is </w:t>
      </w:r>
      <w:r w:rsidR="00D569F0">
        <w:t xml:space="preserve">consistent </w:t>
      </w:r>
      <w:r w:rsidR="00761B83">
        <w:t xml:space="preserve">with the </w:t>
      </w:r>
      <w:r w:rsidR="00FF7657" w:rsidRPr="00FF7657">
        <w:t xml:space="preserve">European Society for Vascular Surgery (ESVS) </w:t>
      </w:r>
      <w:r w:rsidR="00FF7657">
        <w:t>guidelines (</w:t>
      </w:r>
      <w:r w:rsidR="00FF7657" w:rsidRPr="00FF7657">
        <w:t>2022</w:t>
      </w:r>
      <w:r w:rsidR="00FF7657">
        <w:t>) rec</w:t>
      </w:r>
      <w:r w:rsidR="002F0BB8">
        <w:t>ommend</w:t>
      </w:r>
      <w:r w:rsidR="00051EB2">
        <w:t xml:space="preserve">ation </w:t>
      </w:r>
      <w:r w:rsidR="00520616">
        <w:t xml:space="preserve">89 of </w:t>
      </w:r>
      <w:r w:rsidR="00E66CD7">
        <w:t>referring</w:t>
      </w:r>
      <w:r w:rsidR="002D128F" w:rsidRPr="002D128F">
        <w:t xml:space="preserve"> patients with acute spontaneous bleeding from superficial veins for urgent assessment.</w:t>
      </w:r>
      <w:r w:rsidR="00D569F0" w:rsidRPr="00FB702D">
        <w:rPr>
          <w:vertAlign w:val="superscript"/>
        </w:rPr>
        <w:t>6</w:t>
      </w:r>
    </w:p>
    <w:p w14:paraId="39B2104B" w14:textId="77777777" w:rsidR="00A901B1" w:rsidRDefault="00A901B1" w:rsidP="00CA797F"/>
    <w:p w14:paraId="7E44DB2C" w14:textId="15BA207D" w:rsidR="005C13E1" w:rsidRDefault="005C13E1" w:rsidP="00250019">
      <w:pPr>
        <w:pStyle w:val="Heading1"/>
      </w:pPr>
      <w:bookmarkStart w:id="5" w:name="_Toc198802227"/>
      <w:bookmarkStart w:id="6" w:name="_Toc198802228"/>
      <w:bookmarkStart w:id="7" w:name="_Toc198802229"/>
      <w:bookmarkStart w:id="8" w:name="_Toc198802230"/>
      <w:bookmarkStart w:id="9" w:name="_Toc198802231"/>
      <w:bookmarkStart w:id="10" w:name="_Toc198802232"/>
      <w:bookmarkStart w:id="11" w:name="_Toc198802233"/>
      <w:bookmarkStart w:id="12" w:name="_Toc198802234"/>
      <w:bookmarkStart w:id="13" w:name="_Toc198802235"/>
      <w:bookmarkStart w:id="14" w:name="_Toc198802236"/>
      <w:bookmarkStart w:id="15" w:name="_Toc198802237"/>
      <w:bookmarkStart w:id="16" w:name="_Toc198802238"/>
      <w:bookmarkStart w:id="17" w:name="_Toc198802239"/>
      <w:bookmarkStart w:id="18" w:name="_Toc198802240"/>
      <w:bookmarkStart w:id="19" w:name="_Toc198802241"/>
      <w:bookmarkEnd w:id="5"/>
      <w:bookmarkEnd w:id="6"/>
      <w:bookmarkEnd w:id="7"/>
      <w:bookmarkEnd w:id="8"/>
      <w:bookmarkEnd w:id="9"/>
      <w:bookmarkEnd w:id="10"/>
      <w:bookmarkEnd w:id="11"/>
      <w:bookmarkEnd w:id="12"/>
      <w:bookmarkEnd w:id="13"/>
      <w:bookmarkEnd w:id="14"/>
      <w:bookmarkEnd w:id="15"/>
      <w:bookmarkEnd w:id="16"/>
      <w:bookmarkEnd w:id="17"/>
      <w:bookmarkEnd w:id="18"/>
      <w:r w:rsidRPr="001636EF">
        <w:t>Benefits</w:t>
      </w:r>
      <w:bookmarkEnd w:id="19"/>
    </w:p>
    <w:p w14:paraId="488E029B" w14:textId="2D9FBEBA" w:rsidR="001C5828" w:rsidRPr="00A07D8E" w:rsidRDefault="00BF048C" w:rsidP="001C5828">
      <w:r>
        <w:t xml:space="preserve">The </w:t>
      </w:r>
      <w:r w:rsidR="001C5828" w:rsidRPr="00D02D32">
        <w:t>NICE</w:t>
      </w:r>
      <w:r w:rsidR="001C5828">
        <w:t xml:space="preserve"> guideline</w:t>
      </w:r>
      <w:r>
        <w:t xml:space="preserve"> published in 201</w:t>
      </w:r>
      <w:r w:rsidR="002402B7">
        <w:t>3</w:t>
      </w:r>
      <w:r w:rsidR="001C5828">
        <w:t xml:space="preserve"> (</w:t>
      </w:r>
      <w:r w:rsidR="009455CB">
        <w:t>C</w:t>
      </w:r>
      <w:r w:rsidR="001C5828">
        <w:t xml:space="preserve">G168) </w:t>
      </w:r>
      <w:r w:rsidR="00474B71">
        <w:t>advise</w:t>
      </w:r>
      <w:r w:rsidR="00A56AF5">
        <w:t>s</w:t>
      </w:r>
      <w:r w:rsidR="001C5828">
        <w:t xml:space="preserve"> several options for the management of </w:t>
      </w:r>
      <w:r w:rsidR="003651B3" w:rsidRPr="003651B3">
        <w:t>confirmed varicose veins and truncal reflux</w:t>
      </w:r>
      <w:r w:rsidR="001C5828">
        <w:t>:</w:t>
      </w:r>
      <w:r w:rsidR="00D569F0" w:rsidRPr="00FB702D">
        <w:rPr>
          <w:vertAlign w:val="superscript"/>
        </w:rPr>
        <w:t>2</w:t>
      </w:r>
    </w:p>
    <w:p w14:paraId="4B785EE0" w14:textId="77777777" w:rsidR="001C5828" w:rsidRDefault="001C5828" w:rsidP="001C5828">
      <w:pPr>
        <w:pStyle w:val="ListParagraph"/>
        <w:numPr>
          <w:ilvl w:val="0"/>
          <w:numId w:val="4"/>
        </w:numPr>
      </w:pPr>
      <w:r>
        <w:t>e</w:t>
      </w:r>
      <w:r w:rsidRPr="00D02D32">
        <w:t>ndothermal ablation</w:t>
      </w:r>
    </w:p>
    <w:p w14:paraId="26DA2BAC" w14:textId="6E0E0357" w:rsidR="00FA6192" w:rsidRDefault="001C5828" w:rsidP="001C5828">
      <w:pPr>
        <w:pStyle w:val="ListParagraph"/>
        <w:numPr>
          <w:ilvl w:val="0"/>
          <w:numId w:val="4"/>
        </w:numPr>
      </w:pPr>
      <w:r>
        <w:t>u</w:t>
      </w:r>
      <w:r w:rsidRPr="00D02D32">
        <w:t>ltrasound</w:t>
      </w:r>
      <w:r w:rsidR="00F353BD">
        <w:t>-</w:t>
      </w:r>
      <w:r w:rsidRPr="00D02D32">
        <w:t>guided foam sclerotherapy</w:t>
      </w:r>
      <w:r w:rsidR="00FA6192">
        <w:t xml:space="preserve"> (or </w:t>
      </w:r>
      <w:r w:rsidRPr="00D02D32">
        <w:t>medical glue</w:t>
      </w:r>
      <w:r>
        <w:t xml:space="preserve"> </w:t>
      </w:r>
      <w:r w:rsidR="00FA6192">
        <w:t>in more recent guidance</w:t>
      </w:r>
      <w:r w:rsidR="00FA6192" w:rsidRPr="009455CB">
        <w:rPr>
          <w:vertAlign w:val="superscript"/>
        </w:rPr>
        <w:t>6</w:t>
      </w:r>
      <w:r w:rsidR="00FA6192">
        <w:t>)</w:t>
      </w:r>
    </w:p>
    <w:p w14:paraId="0AD826CA" w14:textId="426945D1" w:rsidR="00C60DEA" w:rsidRDefault="00FA6192" w:rsidP="00C60DEA">
      <w:pPr>
        <w:pStyle w:val="ListParagraph"/>
        <w:numPr>
          <w:ilvl w:val="0"/>
          <w:numId w:val="4"/>
        </w:numPr>
      </w:pPr>
      <w:r>
        <w:t>o</w:t>
      </w:r>
      <w:r w:rsidR="001C5828">
        <w:t xml:space="preserve">pen surgery </w:t>
      </w:r>
      <w:r>
        <w:t xml:space="preserve">in cases when </w:t>
      </w:r>
      <w:r w:rsidR="001C5828" w:rsidRPr="00D02D32">
        <w:t>other treatments are not suitable</w:t>
      </w:r>
      <w:r w:rsidR="00F353BD">
        <w:t>,</w:t>
      </w:r>
      <w:r w:rsidR="00D569F0">
        <w:t xml:space="preserve"> and</w:t>
      </w:r>
    </w:p>
    <w:p w14:paraId="347A9317" w14:textId="550DBB52" w:rsidR="00A07D8E" w:rsidRDefault="00625F0B" w:rsidP="00C60DEA">
      <w:pPr>
        <w:pStyle w:val="ListParagraph"/>
        <w:numPr>
          <w:ilvl w:val="0"/>
          <w:numId w:val="4"/>
        </w:numPr>
      </w:pPr>
      <w:r>
        <w:t>compression bandaging or hosiery after interventional treatment</w:t>
      </w:r>
    </w:p>
    <w:p w14:paraId="78D80E96" w14:textId="17582D1B" w:rsidR="00A07D8E" w:rsidRPr="00A07D8E" w:rsidRDefault="00A07D8E" w:rsidP="000A1E97"/>
    <w:p w14:paraId="04B0B930" w14:textId="0005636D" w:rsidR="000814BE" w:rsidRDefault="001E5D1F" w:rsidP="00F74B23">
      <w:r>
        <w:t xml:space="preserve">As </w:t>
      </w:r>
      <w:r w:rsidR="004D3FA3">
        <w:t>document</w:t>
      </w:r>
      <w:r>
        <w:t>ed in the</w:t>
      </w:r>
      <w:r w:rsidR="00854FA7">
        <w:t xml:space="preserve"> ESVS</w:t>
      </w:r>
      <w:r w:rsidR="004D3FA3">
        <w:t xml:space="preserve"> </w:t>
      </w:r>
      <w:r w:rsidR="00854FA7">
        <w:t>and</w:t>
      </w:r>
      <w:r>
        <w:t xml:space="preserve"> </w:t>
      </w:r>
      <w:r w:rsidR="006F1F5C">
        <w:t>SVS, AVF and AVLS</w:t>
      </w:r>
      <w:r w:rsidR="00E53094">
        <w:t xml:space="preserve"> guideline</w:t>
      </w:r>
      <w:r w:rsidR="004D3FA3">
        <w:t>s</w:t>
      </w:r>
      <w:r w:rsidR="00E53094">
        <w:t>,</w:t>
      </w:r>
      <w:r w:rsidR="006F1F5C">
        <w:t xml:space="preserve"> </w:t>
      </w:r>
      <w:r w:rsidR="008D0A3B">
        <w:t>s</w:t>
      </w:r>
      <w:r w:rsidR="006900F5">
        <w:t>ystematic review</w:t>
      </w:r>
      <w:r w:rsidR="00C467AB">
        <w:t xml:space="preserve">-level </w:t>
      </w:r>
      <w:r w:rsidR="000814BE" w:rsidRPr="000814BE">
        <w:t>evidence indicates that</w:t>
      </w:r>
      <w:r w:rsidR="004D3FA3">
        <w:t xml:space="preserve"> these</w:t>
      </w:r>
      <w:r w:rsidR="000814BE" w:rsidRPr="000814BE">
        <w:t xml:space="preserve"> varicose vein treatment</w:t>
      </w:r>
      <w:r w:rsidR="004D3FA3">
        <w:t>s</w:t>
      </w:r>
      <w:r w:rsidR="000814BE" w:rsidRPr="000814BE">
        <w:t xml:space="preserve"> can enhance </w:t>
      </w:r>
      <w:r w:rsidR="00C90F90">
        <w:t xml:space="preserve">the </w:t>
      </w:r>
      <w:r w:rsidR="000814BE" w:rsidRPr="000814BE">
        <w:t>quality of life, aid ulcer healing, alleviate symptoms</w:t>
      </w:r>
      <w:r w:rsidR="008050C7">
        <w:t xml:space="preserve"> and</w:t>
      </w:r>
      <w:r w:rsidR="000814BE" w:rsidRPr="000814BE">
        <w:t xml:space="preserve"> lower the risk of complications.</w:t>
      </w:r>
      <w:r w:rsidR="00B9701B" w:rsidRPr="006F1F5C">
        <w:rPr>
          <w:vertAlign w:val="superscript"/>
        </w:rPr>
        <w:t>5</w:t>
      </w:r>
      <w:r w:rsidR="00B9701B">
        <w:rPr>
          <w:vertAlign w:val="superscript"/>
        </w:rPr>
        <w:t>,6</w:t>
      </w:r>
    </w:p>
    <w:p w14:paraId="538823A0" w14:textId="34C0DE61" w:rsidR="008D0A3B" w:rsidRDefault="00C91C82" w:rsidP="00F74B23">
      <w:r>
        <w:t xml:space="preserve">According to the NHS England </w:t>
      </w:r>
      <w:r w:rsidR="00903FC3">
        <w:t xml:space="preserve">decision </w:t>
      </w:r>
      <w:r w:rsidR="00042D12">
        <w:t>aid for patients</w:t>
      </w:r>
      <w:r w:rsidR="00CB010E">
        <w:t>,</w:t>
      </w:r>
      <w:r w:rsidR="00D32C2D">
        <w:t xml:space="preserve"> </w:t>
      </w:r>
      <w:r w:rsidR="007B7DA6">
        <w:t xml:space="preserve">the symptoms </w:t>
      </w:r>
      <w:r w:rsidR="00F818C0">
        <w:t xml:space="preserve">of </w:t>
      </w:r>
      <w:r w:rsidR="003F1BE5">
        <w:t xml:space="preserve">80 </w:t>
      </w:r>
      <w:r w:rsidR="00E555CE">
        <w:t xml:space="preserve">to 85 </w:t>
      </w:r>
      <w:r w:rsidR="00ED5B02">
        <w:t xml:space="preserve">out of every 100 </w:t>
      </w:r>
      <w:r w:rsidR="00E555CE">
        <w:t>people</w:t>
      </w:r>
      <w:r w:rsidR="00ED5B02">
        <w:t xml:space="preserve"> </w:t>
      </w:r>
      <w:r w:rsidR="00392B43">
        <w:t xml:space="preserve">get better by </w:t>
      </w:r>
      <w:r w:rsidR="00392B43" w:rsidRPr="00392B43">
        <w:t>closing or removing the veins</w:t>
      </w:r>
      <w:r w:rsidR="00392B43">
        <w:t>.</w:t>
      </w:r>
      <w:r w:rsidR="008308A1">
        <w:rPr>
          <w:vertAlign w:val="superscript"/>
        </w:rPr>
        <w:t>7</w:t>
      </w:r>
    </w:p>
    <w:p w14:paraId="69E3BBD3" w14:textId="4E48814B" w:rsidR="0077512F" w:rsidRPr="005C0331" w:rsidRDefault="00CE016A" w:rsidP="006C7578">
      <w:r>
        <w:t>In 2016</w:t>
      </w:r>
      <w:r w:rsidR="00F353BD">
        <w:t>,</w:t>
      </w:r>
      <w:r>
        <w:t xml:space="preserve"> </w:t>
      </w:r>
      <w:r w:rsidR="00F11319">
        <w:t>NICE</w:t>
      </w:r>
      <w:r>
        <w:t xml:space="preserve"> </w:t>
      </w:r>
      <w:r w:rsidR="00A95957">
        <w:t xml:space="preserve">looked </w:t>
      </w:r>
      <w:r w:rsidR="00F4667D">
        <w:t xml:space="preserve">at the new evidence </w:t>
      </w:r>
      <w:r w:rsidR="000128E8">
        <w:t>relevant</w:t>
      </w:r>
      <w:r w:rsidR="00F4667D">
        <w:t xml:space="preserve"> to </w:t>
      </w:r>
      <w:r w:rsidR="00D21463">
        <w:t xml:space="preserve">the main themes of </w:t>
      </w:r>
      <w:r w:rsidR="00D55BA4">
        <w:t>the</w:t>
      </w:r>
      <w:r w:rsidR="00F4667D">
        <w:t xml:space="preserve"> </w:t>
      </w:r>
      <w:r w:rsidR="00CE4CA9">
        <w:t>v</w:t>
      </w:r>
      <w:r w:rsidR="00F4667D">
        <w:t>aricose veins guideline (</w:t>
      </w:r>
      <w:r w:rsidR="00DD6B2F">
        <w:t>C</w:t>
      </w:r>
      <w:r w:rsidR="00F4667D">
        <w:t>G168)</w:t>
      </w:r>
      <w:r w:rsidR="002B5CA6">
        <w:t xml:space="preserve"> and</w:t>
      </w:r>
      <w:r w:rsidR="00F4667D">
        <w:t xml:space="preserve"> </w:t>
      </w:r>
      <w:r w:rsidR="00565B05">
        <w:t>produced a</w:t>
      </w:r>
      <w:r w:rsidR="00C318D5">
        <w:t xml:space="preserve"> </w:t>
      </w:r>
      <w:r w:rsidR="006C7578">
        <w:t xml:space="preserve">detailed </w:t>
      </w:r>
      <w:r w:rsidR="00C318D5">
        <w:t>decision matrix</w:t>
      </w:r>
      <w:r w:rsidR="00F353BD">
        <w:t>,</w:t>
      </w:r>
      <w:r w:rsidR="00D21463">
        <w:t xml:space="preserve"> </w:t>
      </w:r>
      <w:r w:rsidR="00D21463" w:rsidRPr="00D21463">
        <w:t xml:space="preserve">which </w:t>
      </w:r>
      <w:r w:rsidR="002402B7">
        <w:t xml:space="preserve">is a reference source </w:t>
      </w:r>
      <w:r w:rsidR="006C7578">
        <w:t xml:space="preserve">for comparisons of </w:t>
      </w:r>
      <w:r w:rsidR="00D21463" w:rsidRPr="00D21463">
        <w:t>effectiveness and cost</w:t>
      </w:r>
      <w:r w:rsidR="00F353BD">
        <w:t xml:space="preserve"> </w:t>
      </w:r>
      <w:r w:rsidR="00D21463" w:rsidRPr="00D21463">
        <w:t>effectiveness for different types of treatment.</w:t>
      </w:r>
      <w:r w:rsidR="00EC7D30" w:rsidRPr="00FB702D">
        <w:rPr>
          <w:vertAlign w:val="superscript"/>
        </w:rPr>
        <w:t>8</w:t>
      </w:r>
    </w:p>
    <w:p w14:paraId="5BBB779A" w14:textId="6C1E6360" w:rsidR="000814BE" w:rsidRDefault="00134E3A" w:rsidP="006C7578">
      <w:r>
        <w:t>BMJ Best Practice estimate</w:t>
      </w:r>
      <w:r w:rsidR="00B86230">
        <w:t>d in its 2023 summary</w:t>
      </w:r>
      <w:r>
        <w:t xml:space="preserve"> t</w:t>
      </w:r>
      <w:r w:rsidR="00946DF2">
        <w:t>hat</w:t>
      </w:r>
      <w:r w:rsidR="00DE1382" w:rsidRPr="00DE1382">
        <w:t xml:space="preserve"> resolution of symptoms occurs in </w:t>
      </w:r>
      <w:r w:rsidR="00F353BD">
        <w:t xml:space="preserve">over </w:t>
      </w:r>
      <w:r w:rsidR="00DE1382" w:rsidRPr="00DE1382">
        <w:t>95% of patients.</w:t>
      </w:r>
      <w:r w:rsidR="00B424B3">
        <w:rPr>
          <w:vertAlign w:val="superscript"/>
        </w:rPr>
        <w:t>4</w:t>
      </w:r>
      <w:r w:rsidR="00DE1382" w:rsidRPr="00DE1382">
        <w:t xml:space="preserve"> </w:t>
      </w:r>
      <w:r w:rsidR="00A90DF6">
        <w:t xml:space="preserve">It </w:t>
      </w:r>
      <w:r w:rsidR="00C467AB">
        <w:t>points out that</w:t>
      </w:r>
      <w:r w:rsidR="00F353BD">
        <w:t>,</w:t>
      </w:r>
      <w:r w:rsidR="00C467AB">
        <w:t xml:space="preserve"> </w:t>
      </w:r>
      <w:r w:rsidR="00DE1382" w:rsidRPr="00DE1382">
        <w:t>as varicose veins are a progressive disease</w:t>
      </w:r>
      <w:r w:rsidR="00135E09">
        <w:t>,</w:t>
      </w:r>
      <w:r w:rsidR="00DE1382" w:rsidRPr="00DE1382">
        <w:t xml:space="preserve"> </w:t>
      </w:r>
      <w:r w:rsidR="00E96D0C" w:rsidRPr="00DE1382">
        <w:t>new varicosities will very likely occur</w:t>
      </w:r>
      <w:r w:rsidR="00E96D0C">
        <w:t>;</w:t>
      </w:r>
      <w:r w:rsidR="00DE1382" w:rsidRPr="00DE1382">
        <w:t xml:space="preserve"> new varicosities do not necessarily represent treatment failure.</w:t>
      </w:r>
      <w:r w:rsidR="0052124F">
        <w:t xml:space="preserve"> </w:t>
      </w:r>
      <w:r w:rsidR="002E5744">
        <w:t xml:space="preserve">The evidence table  in </w:t>
      </w:r>
      <w:r w:rsidR="00EE5D68">
        <w:t xml:space="preserve">their summary compares </w:t>
      </w:r>
      <w:r w:rsidR="0052124F">
        <w:t>endovenous laser ablation therapy (EVLA) with</w:t>
      </w:r>
      <w:r w:rsidR="00EE5D68">
        <w:t xml:space="preserve"> </w:t>
      </w:r>
      <w:r w:rsidR="0052124F">
        <w:t>conventional surgical repair for people with short saphenous varicose veins</w:t>
      </w:r>
      <w:r w:rsidR="00892ECC">
        <w:t>.</w:t>
      </w:r>
    </w:p>
    <w:p w14:paraId="130F151A" w14:textId="17597F62" w:rsidR="00CF092A" w:rsidRDefault="006F13E2" w:rsidP="005C6658">
      <w:r>
        <w:t>DynaMed</w:t>
      </w:r>
      <w:r w:rsidR="00B86230">
        <w:t>’s</w:t>
      </w:r>
      <w:r>
        <w:t xml:space="preserve"> </w:t>
      </w:r>
      <w:r w:rsidR="00594024">
        <w:t>summary</w:t>
      </w:r>
      <w:r w:rsidR="00F353BD">
        <w:t>,</w:t>
      </w:r>
      <w:r w:rsidR="00B86230">
        <w:t xml:space="preserve"> published in 2024</w:t>
      </w:r>
      <w:r w:rsidR="00594024">
        <w:t xml:space="preserve">, in its chapter on management, </w:t>
      </w:r>
      <w:r>
        <w:t xml:space="preserve">presents </w:t>
      </w:r>
      <w:r w:rsidR="00BF0846">
        <w:t>detailed c</w:t>
      </w:r>
      <w:r w:rsidR="00BF0846" w:rsidRPr="00BF0846">
        <w:t>omparisons of ablation techniques</w:t>
      </w:r>
      <w:r>
        <w:t xml:space="preserve"> and </w:t>
      </w:r>
      <w:r w:rsidR="00F353BD">
        <w:t xml:space="preserve">the </w:t>
      </w:r>
      <w:r>
        <w:t>effectiveness of surgical procedures</w:t>
      </w:r>
      <w:r w:rsidR="00F655AA">
        <w:t>.</w:t>
      </w:r>
      <w:r w:rsidR="00A90DF6" w:rsidRPr="00FB702D">
        <w:rPr>
          <w:vertAlign w:val="superscript"/>
        </w:rPr>
        <w:t>9</w:t>
      </w:r>
      <w:r w:rsidR="000945B6">
        <w:t xml:space="preserve"> It also contains </w:t>
      </w:r>
      <w:r w:rsidR="000945B6" w:rsidRPr="000945B6">
        <w:t>useful information on recurrence</w:t>
      </w:r>
      <w:r w:rsidR="00A51A83">
        <w:t xml:space="preserve"> for different types of intervention</w:t>
      </w:r>
      <w:r w:rsidR="00B86230">
        <w:t>:</w:t>
      </w:r>
    </w:p>
    <w:p w14:paraId="1966655D" w14:textId="4D4AF736" w:rsidR="005C6658" w:rsidRDefault="00A51A83" w:rsidP="00B35430">
      <w:pPr>
        <w:pStyle w:val="ListParagraph"/>
        <w:numPr>
          <w:ilvl w:val="0"/>
          <w:numId w:val="27"/>
        </w:numPr>
      </w:pPr>
      <w:r>
        <w:t>s</w:t>
      </w:r>
      <w:r w:rsidR="005C6658">
        <w:t>clerotherapy &gt;70% lifetime recurrence</w:t>
      </w:r>
    </w:p>
    <w:p w14:paraId="084B681F" w14:textId="63DA249C" w:rsidR="005C6658" w:rsidRDefault="00A51A83" w:rsidP="00B35430">
      <w:pPr>
        <w:pStyle w:val="ListParagraph"/>
        <w:numPr>
          <w:ilvl w:val="0"/>
          <w:numId w:val="27"/>
        </w:numPr>
      </w:pPr>
      <w:r>
        <w:t>t</w:t>
      </w:r>
      <w:r w:rsidR="005C6658">
        <w:t>hermocoagulation</w:t>
      </w:r>
      <w:r>
        <w:t xml:space="preserve"> or </w:t>
      </w:r>
      <w:r w:rsidR="005C6658">
        <w:t>laser &gt;70% lifetime recurrence</w:t>
      </w:r>
    </w:p>
    <w:p w14:paraId="4FE61DBD" w14:textId="3A31A7C3" w:rsidR="005C6658" w:rsidRDefault="00020078" w:rsidP="00B35430">
      <w:pPr>
        <w:pStyle w:val="ListParagraph"/>
        <w:numPr>
          <w:ilvl w:val="0"/>
          <w:numId w:val="27"/>
        </w:numPr>
      </w:pPr>
      <w:r>
        <w:t>microphlebectomy</w:t>
      </w:r>
      <w:r w:rsidR="005C6658">
        <w:t xml:space="preserve"> &gt;60% lifetime recurrence</w:t>
      </w:r>
    </w:p>
    <w:p w14:paraId="4A0FC981" w14:textId="377FFFAF" w:rsidR="005C6658" w:rsidRDefault="00A51A83" w:rsidP="00B35430">
      <w:pPr>
        <w:pStyle w:val="ListParagraph"/>
        <w:numPr>
          <w:ilvl w:val="0"/>
          <w:numId w:val="27"/>
        </w:numPr>
      </w:pPr>
      <w:r>
        <w:t>e</w:t>
      </w:r>
      <w:r w:rsidR="005C6658">
        <w:t>ndovenous laser ablation 10%</w:t>
      </w:r>
      <w:r w:rsidR="008512EE">
        <w:t xml:space="preserve"> to </w:t>
      </w:r>
      <w:r w:rsidR="005C6658">
        <w:t>30% recanali</w:t>
      </w:r>
      <w:r w:rsidR="00251FDA">
        <w:t>s</w:t>
      </w:r>
      <w:r w:rsidR="005C6658">
        <w:t>ation</w:t>
      </w:r>
    </w:p>
    <w:p w14:paraId="5AB23EA4" w14:textId="49B6FC1A" w:rsidR="005C6658" w:rsidRDefault="00A51A83" w:rsidP="00B35430">
      <w:pPr>
        <w:pStyle w:val="ListParagraph"/>
        <w:numPr>
          <w:ilvl w:val="0"/>
          <w:numId w:val="27"/>
        </w:numPr>
      </w:pPr>
      <w:r>
        <w:t>r</w:t>
      </w:r>
      <w:r w:rsidR="005C6658">
        <w:t>adiofrequency ablation 10%</w:t>
      </w:r>
      <w:r w:rsidR="008512EE">
        <w:t xml:space="preserve"> to </w:t>
      </w:r>
      <w:r w:rsidR="005C6658">
        <w:t>30% recanali</w:t>
      </w:r>
      <w:r w:rsidR="00251FDA">
        <w:t>s</w:t>
      </w:r>
      <w:r w:rsidR="005C6658">
        <w:t>ation</w:t>
      </w:r>
      <w:r w:rsidR="00251FDA">
        <w:t xml:space="preserve"> </w:t>
      </w:r>
    </w:p>
    <w:p w14:paraId="686C7B57" w14:textId="7C0A50D2" w:rsidR="00892ECC" w:rsidRDefault="00A51A83" w:rsidP="00B35430">
      <w:pPr>
        <w:pStyle w:val="ListParagraph"/>
        <w:numPr>
          <w:ilvl w:val="0"/>
          <w:numId w:val="27"/>
        </w:numPr>
      </w:pPr>
      <w:r>
        <w:t>s</w:t>
      </w:r>
      <w:r w:rsidR="005C6658">
        <w:t>urgical stripping and excision 10%</w:t>
      </w:r>
      <w:r w:rsidR="008512EE">
        <w:t xml:space="preserve"> to </w:t>
      </w:r>
      <w:r w:rsidR="005C6658">
        <w:t>20% neovasculari</w:t>
      </w:r>
      <w:r w:rsidR="00251FDA">
        <w:t>s</w:t>
      </w:r>
      <w:r w:rsidR="005C6658">
        <w:t>ation</w:t>
      </w:r>
    </w:p>
    <w:p w14:paraId="37497C88" w14:textId="77777777" w:rsidR="00E96D0C" w:rsidRPr="00F74B23" w:rsidRDefault="00E96D0C" w:rsidP="00F74B23"/>
    <w:p w14:paraId="2EA746FD" w14:textId="34666D69" w:rsidR="00CC61AD" w:rsidRDefault="00C55E99" w:rsidP="00250019">
      <w:pPr>
        <w:pStyle w:val="Heading1"/>
      </w:pPr>
      <w:bookmarkStart w:id="20" w:name="_Toc198802242"/>
      <w:r w:rsidRPr="001636EF">
        <w:t>Risks</w:t>
      </w:r>
      <w:r w:rsidR="00CC61AD" w:rsidRPr="001636EF">
        <w:t xml:space="preserve"> and </w:t>
      </w:r>
      <w:r w:rsidR="000B22DF">
        <w:t>complications</w:t>
      </w:r>
      <w:bookmarkEnd w:id="20"/>
    </w:p>
    <w:p w14:paraId="6ADE6FC3" w14:textId="11E98B2A" w:rsidR="003D02C7" w:rsidRDefault="00902883" w:rsidP="00FC0C1F">
      <w:r>
        <w:t>According to the BMJ Best Practice</w:t>
      </w:r>
      <w:r w:rsidR="00F353BD">
        <w:t>,</w:t>
      </w:r>
      <w:r w:rsidR="00AC5CD5">
        <w:t xml:space="preserve"> s</w:t>
      </w:r>
      <w:r>
        <w:t>trong</w:t>
      </w:r>
      <w:r w:rsidR="003D02C7">
        <w:t xml:space="preserve"> risk factors include:</w:t>
      </w:r>
      <w:r w:rsidR="00732040" w:rsidRPr="00732040">
        <w:rPr>
          <w:vertAlign w:val="superscript"/>
        </w:rPr>
        <w:t xml:space="preserve"> </w:t>
      </w:r>
    </w:p>
    <w:p w14:paraId="007B74E5" w14:textId="77777777" w:rsidR="003D02C7" w:rsidRDefault="003D02C7" w:rsidP="003D02C7">
      <w:pPr>
        <w:pStyle w:val="ListParagraph"/>
        <w:numPr>
          <w:ilvl w:val="0"/>
          <w:numId w:val="12"/>
        </w:numPr>
      </w:pPr>
      <w:r>
        <w:t>increasing age</w:t>
      </w:r>
    </w:p>
    <w:p w14:paraId="1B401EA1" w14:textId="77777777" w:rsidR="003D02C7" w:rsidRDefault="003D02C7" w:rsidP="003D02C7">
      <w:pPr>
        <w:pStyle w:val="ListParagraph"/>
        <w:numPr>
          <w:ilvl w:val="0"/>
          <w:numId w:val="12"/>
        </w:numPr>
      </w:pPr>
      <w:r>
        <w:t>family history</w:t>
      </w:r>
    </w:p>
    <w:p w14:paraId="05E3CB21" w14:textId="7BAD462C" w:rsidR="003D02C7" w:rsidRDefault="003D02C7" w:rsidP="003D02C7">
      <w:pPr>
        <w:pStyle w:val="ListParagraph"/>
        <w:numPr>
          <w:ilvl w:val="0"/>
          <w:numId w:val="12"/>
        </w:numPr>
      </w:pPr>
      <w:r>
        <w:t>female sex</w:t>
      </w:r>
      <w:r w:rsidR="00745CC4">
        <w:t xml:space="preserve"> </w:t>
      </w:r>
    </w:p>
    <w:p w14:paraId="7EBF0679" w14:textId="6C256CEE" w:rsidR="003D02C7" w:rsidRDefault="003D02C7" w:rsidP="003D02C7">
      <w:pPr>
        <w:pStyle w:val="ListParagraph"/>
        <w:numPr>
          <w:ilvl w:val="0"/>
          <w:numId w:val="12"/>
        </w:numPr>
      </w:pPr>
      <w:r>
        <w:t>increasing numbers of births</w:t>
      </w:r>
      <w:r w:rsidR="00CC3778">
        <w:t>.</w:t>
      </w:r>
      <w:r w:rsidR="00AF1388">
        <w:rPr>
          <w:vertAlign w:val="superscript"/>
        </w:rPr>
        <w:t>4</w:t>
      </w:r>
    </w:p>
    <w:p w14:paraId="48CEF471" w14:textId="77777777" w:rsidR="00C60DEA" w:rsidRDefault="00C60DEA" w:rsidP="00FC0C1F"/>
    <w:p w14:paraId="78C19BA1" w14:textId="2AE5B149" w:rsidR="00AC5CD5" w:rsidRDefault="00D6124B" w:rsidP="00FC0C1F">
      <w:r>
        <w:t>W</w:t>
      </w:r>
      <w:r w:rsidR="00AC5CD5">
        <w:t>eak risk factors are:</w:t>
      </w:r>
    </w:p>
    <w:p w14:paraId="1515544B" w14:textId="5EEEB94D" w:rsidR="00F00C4D" w:rsidRDefault="00F00C4D" w:rsidP="00F00C4D">
      <w:pPr>
        <w:pStyle w:val="ListParagraph"/>
        <w:numPr>
          <w:ilvl w:val="0"/>
          <w:numId w:val="13"/>
        </w:numPr>
      </w:pPr>
      <w:r>
        <w:t>occupation with prolonged standing</w:t>
      </w:r>
    </w:p>
    <w:p w14:paraId="3A683422" w14:textId="4C50ECC5" w:rsidR="00AC5CD5" w:rsidRDefault="00F00C4D" w:rsidP="00F00C4D">
      <w:pPr>
        <w:pStyle w:val="ListParagraph"/>
        <w:numPr>
          <w:ilvl w:val="0"/>
          <w:numId w:val="13"/>
        </w:numPr>
      </w:pPr>
      <w:r>
        <w:t>obesity</w:t>
      </w:r>
      <w:r w:rsidR="00CC3778">
        <w:t>.</w:t>
      </w:r>
    </w:p>
    <w:p w14:paraId="4A584EDF" w14:textId="77777777" w:rsidR="00C60DEA" w:rsidRDefault="00C60DEA" w:rsidP="00FC0C1F"/>
    <w:p w14:paraId="3202B49B" w14:textId="64D7477E" w:rsidR="00FC0C1F" w:rsidRDefault="009E227B" w:rsidP="00FC0C1F">
      <w:r>
        <w:t>DynaMed</w:t>
      </w:r>
      <w:r>
        <w:rPr>
          <w:vertAlign w:val="superscript"/>
        </w:rPr>
        <w:t xml:space="preserve"> </w:t>
      </w:r>
      <w:r w:rsidR="0002070C">
        <w:t xml:space="preserve">also </w:t>
      </w:r>
      <w:r w:rsidR="00BF46A5">
        <w:t xml:space="preserve">lists </w:t>
      </w:r>
      <w:r w:rsidR="00735737">
        <w:t xml:space="preserve">possible immediate </w:t>
      </w:r>
      <w:r w:rsidR="00BF46A5">
        <w:t>m</w:t>
      </w:r>
      <w:r w:rsidR="00853D49" w:rsidRPr="00853D49">
        <w:t>ajor complications related to endovenous and open</w:t>
      </w:r>
      <w:r w:rsidR="00F353BD">
        <w:t>-</w:t>
      </w:r>
      <w:r w:rsidR="00853D49" w:rsidRPr="00853D49">
        <w:t>surgery intervention</w:t>
      </w:r>
      <w:r w:rsidR="008D4120">
        <w:t>s</w:t>
      </w:r>
      <w:r w:rsidR="00FC0C1F">
        <w:t>:</w:t>
      </w:r>
      <w:r w:rsidR="00D6124B" w:rsidRPr="00D6124B">
        <w:rPr>
          <w:vertAlign w:val="superscript"/>
        </w:rPr>
        <w:t xml:space="preserve"> </w:t>
      </w:r>
      <w:r w:rsidR="00D6124B">
        <w:rPr>
          <w:vertAlign w:val="superscript"/>
        </w:rPr>
        <w:t>9</w:t>
      </w:r>
    </w:p>
    <w:p w14:paraId="2CD777A0" w14:textId="08723794" w:rsidR="00FC0C1F" w:rsidRDefault="00745CC4" w:rsidP="00FC0C1F">
      <w:pPr>
        <w:pStyle w:val="ListParagraph"/>
        <w:numPr>
          <w:ilvl w:val="0"/>
          <w:numId w:val="11"/>
        </w:numPr>
      </w:pPr>
      <w:r>
        <w:t>a</w:t>
      </w:r>
      <w:r w:rsidR="00FC0C1F">
        <w:t>llergic reactions</w:t>
      </w:r>
    </w:p>
    <w:p w14:paraId="6114FC61" w14:textId="20CACB62" w:rsidR="00FC0C1F" w:rsidRDefault="00745CC4" w:rsidP="00FC0C1F">
      <w:pPr>
        <w:pStyle w:val="ListParagraph"/>
        <w:numPr>
          <w:ilvl w:val="0"/>
          <w:numId w:val="11"/>
        </w:numPr>
      </w:pPr>
      <w:r>
        <w:t>w</w:t>
      </w:r>
      <w:r w:rsidR="00FC0C1F">
        <w:t>ound infection requiring debridement</w:t>
      </w:r>
    </w:p>
    <w:p w14:paraId="7D230B79" w14:textId="1EE9454C" w:rsidR="00FC0C1F" w:rsidRDefault="00745CC4" w:rsidP="00FC0C1F">
      <w:pPr>
        <w:pStyle w:val="ListParagraph"/>
        <w:numPr>
          <w:ilvl w:val="0"/>
          <w:numId w:val="11"/>
        </w:numPr>
      </w:pPr>
      <w:r>
        <w:t>ha</w:t>
      </w:r>
      <w:r w:rsidR="00FC0C1F">
        <w:t>emorrhage requiring blood transfusion or surgical intervention</w:t>
      </w:r>
    </w:p>
    <w:p w14:paraId="447C12EC" w14:textId="76142E27" w:rsidR="00FC0C1F" w:rsidRDefault="00745CC4" w:rsidP="00FC0C1F">
      <w:pPr>
        <w:pStyle w:val="ListParagraph"/>
        <w:numPr>
          <w:ilvl w:val="0"/>
          <w:numId w:val="11"/>
        </w:numPr>
      </w:pPr>
      <w:r>
        <w:t>p</w:t>
      </w:r>
      <w:r w:rsidR="00FC0C1F">
        <w:t>ulmonary embolism</w:t>
      </w:r>
    </w:p>
    <w:p w14:paraId="66EECC36" w14:textId="7F3B7B2F" w:rsidR="00FC0C1F" w:rsidRDefault="00745CC4" w:rsidP="00FC0C1F">
      <w:pPr>
        <w:pStyle w:val="ListParagraph"/>
        <w:numPr>
          <w:ilvl w:val="0"/>
          <w:numId w:val="11"/>
        </w:numPr>
      </w:pPr>
      <w:r>
        <w:t>s</w:t>
      </w:r>
      <w:r w:rsidR="00FC0C1F">
        <w:t>kin necrosis requiring surgery</w:t>
      </w:r>
    </w:p>
    <w:p w14:paraId="721D23B5" w14:textId="27F1C55E" w:rsidR="00FC0C1F" w:rsidRDefault="00745CC4" w:rsidP="00FC0C1F">
      <w:pPr>
        <w:pStyle w:val="ListParagraph"/>
        <w:numPr>
          <w:ilvl w:val="0"/>
          <w:numId w:val="11"/>
        </w:numPr>
      </w:pPr>
      <w:r>
        <w:t>a</w:t>
      </w:r>
      <w:r w:rsidR="00FC0C1F">
        <w:t>rteriovenous fistula requiring repair</w:t>
      </w:r>
    </w:p>
    <w:p w14:paraId="62EFCCC4" w14:textId="012D7467" w:rsidR="00FC0C1F" w:rsidRDefault="00745CC4" w:rsidP="00FC0C1F">
      <w:pPr>
        <w:pStyle w:val="ListParagraph"/>
        <w:numPr>
          <w:ilvl w:val="0"/>
          <w:numId w:val="11"/>
        </w:numPr>
      </w:pPr>
      <w:r>
        <w:t>d</w:t>
      </w:r>
      <w:r w:rsidR="00FC0C1F">
        <w:t>eep vein thrombosis</w:t>
      </w:r>
    </w:p>
    <w:p w14:paraId="248F5857" w14:textId="2A571EE4" w:rsidR="00FC0C1F" w:rsidRDefault="00020078" w:rsidP="00FC0C1F">
      <w:pPr>
        <w:pStyle w:val="ListParagraph"/>
        <w:numPr>
          <w:ilvl w:val="0"/>
          <w:numId w:val="11"/>
        </w:numPr>
      </w:pPr>
      <w:r>
        <w:t>lymphocele</w:t>
      </w:r>
    </w:p>
    <w:p w14:paraId="2A3CD2FB" w14:textId="6B48D1F0" w:rsidR="00FC0C1F" w:rsidRDefault="00745CC4" w:rsidP="00FC0C1F">
      <w:pPr>
        <w:pStyle w:val="ListParagraph"/>
        <w:numPr>
          <w:ilvl w:val="0"/>
          <w:numId w:val="11"/>
        </w:numPr>
      </w:pPr>
      <w:r>
        <w:t>t</w:t>
      </w:r>
      <w:r w:rsidR="00FC0C1F">
        <w:t>hermal injury</w:t>
      </w:r>
    </w:p>
    <w:p w14:paraId="7A76A4B2" w14:textId="31DEA316" w:rsidR="00FC0C1F" w:rsidRDefault="00745CC4" w:rsidP="00FC0C1F">
      <w:pPr>
        <w:pStyle w:val="ListParagraph"/>
        <w:numPr>
          <w:ilvl w:val="0"/>
          <w:numId w:val="11"/>
        </w:numPr>
      </w:pPr>
      <w:r>
        <w:t>t</w:t>
      </w:r>
      <w:r w:rsidR="00FC0C1F">
        <w:t>ransient isch</w:t>
      </w:r>
      <w:r>
        <w:t>a</w:t>
      </w:r>
      <w:r w:rsidR="00FC0C1F">
        <w:t>emic attack</w:t>
      </w:r>
      <w:r w:rsidR="00F353BD">
        <w:t xml:space="preserve"> or </w:t>
      </w:r>
      <w:r w:rsidR="00FC0C1F">
        <w:t>stroke</w:t>
      </w:r>
    </w:p>
    <w:p w14:paraId="349945BD" w14:textId="2D258C38" w:rsidR="00FC0C1F" w:rsidRDefault="00745CC4" w:rsidP="00FC0C1F">
      <w:pPr>
        <w:pStyle w:val="ListParagraph"/>
        <w:numPr>
          <w:ilvl w:val="0"/>
          <w:numId w:val="11"/>
        </w:numPr>
      </w:pPr>
      <w:r>
        <w:t>p</w:t>
      </w:r>
      <w:r w:rsidR="00FC0C1F">
        <w:t>ermanent skin discolo</w:t>
      </w:r>
      <w:r>
        <w:t>u</w:t>
      </w:r>
      <w:r w:rsidR="00FC0C1F">
        <w:t>ration</w:t>
      </w:r>
      <w:r>
        <w:t xml:space="preserve"> </w:t>
      </w:r>
    </w:p>
    <w:p w14:paraId="77152DE9" w14:textId="14810608" w:rsidR="00FC0C1F" w:rsidRDefault="00745CC4" w:rsidP="00FC0C1F">
      <w:pPr>
        <w:pStyle w:val="ListParagraph"/>
        <w:numPr>
          <w:ilvl w:val="0"/>
          <w:numId w:val="11"/>
        </w:numPr>
      </w:pPr>
      <w:r>
        <w:t>c</w:t>
      </w:r>
      <w:r w:rsidR="00FC0C1F">
        <w:t>ellulitis requiring intravenous antibiotics and/or intensive care</w:t>
      </w:r>
      <w:r w:rsidR="00CC3778">
        <w:t>.</w:t>
      </w:r>
    </w:p>
    <w:p w14:paraId="79106105" w14:textId="77777777" w:rsidR="003C54D8" w:rsidRDefault="003C54D8" w:rsidP="00F74B23"/>
    <w:p w14:paraId="355A34DE" w14:textId="5B536927" w:rsidR="00735737" w:rsidRDefault="00735737" w:rsidP="00F74B23">
      <w:r>
        <w:t xml:space="preserve">BMJ Best </w:t>
      </w:r>
      <w:r w:rsidR="008366F1">
        <w:t>Practice</w:t>
      </w:r>
      <w:r w:rsidR="00D6124B">
        <w:t xml:space="preserve"> </w:t>
      </w:r>
      <w:r w:rsidR="003602A3">
        <w:t xml:space="preserve">lists possible </w:t>
      </w:r>
      <w:r w:rsidR="00AF1388">
        <w:t>long-term</w:t>
      </w:r>
      <w:r w:rsidR="003602A3">
        <w:t xml:space="preserve"> complications</w:t>
      </w:r>
      <w:r w:rsidR="00DF11BC">
        <w:t xml:space="preserve"> as</w:t>
      </w:r>
      <w:r w:rsidR="003602A3">
        <w:t>:</w:t>
      </w:r>
      <w:r w:rsidR="00B424B3">
        <w:rPr>
          <w:vertAlign w:val="superscript"/>
        </w:rPr>
        <w:t>4</w:t>
      </w:r>
    </w:p>
    <w:p w14:paraId="613A91A1" w14:textId="4A718997" w:rsidR="0074336B" w:rsidRDefault="0074336B" w:rsidP="0074336B">
      <w:pPr>
        <w:pStyle w:val="ListParagraph"/>
        <w:numPr>
          <w:ilvl w:val="0"/>
          <w:numId w:val="11"/>
        </w:numPr>
      </w:pPr>
      <w:r w:rsidRPr="0074336B">
        <w:t>chronic venous insufficiency</w:t>
      </w:r>
      <w:r>
        <w:t xml:space="preserve"> </w:t>
      </w:r>
      <w:r w:rsidR="00714224">
        <w:t>(medium likelihood)</w:t>
      </w:r>
    </w:p>
    <w:p w14:paraId="3A3F0101" w14:textId="7A4E6BEB" w:rsidR="00714224" w:rsidRDefault="00714224" w:rsidP="0074336B">
      <w:pPr>
        <w:pStyle w:val="ListParagraph"/>
        <w:numPr>
          <w:ilvl w:val="0"/>
          <w:numId w:val="11"/>
        </w:numPr>
      </w:pPr>
      <w:r w:rsidRPr="00714224">
        <w:t>haemorrhage</w:t>
      </w:r>
      <w:r w:rsidR="008B1B4A">
        <w:t xml:space="preserve"> (low likelihood)</w:t>
      </w:r>
    </w:p>
    <w:p w14:paraId="4928BA52" w14:textId="5AC02D83" w:rsidR="00714224" w:rsidRDefault="009868F0" w:rsidP="0074336B">
      <w:pPr>
        <w:pStyle w:val="ListParagraph"/>
        <w:numPr>
          <w:ilvl w:val="0"/>
          <w:numId w:val="11"/>
        </w:numPr>
      </w:pPr>
      <w:r w:rsidRPr="009868F0">
        <w:t>venous ulceration</w:t>
      </w:r>
      <w:r w:rsidR="008B1B4A">
        <w:t xml:space="preserve"> (low likelihood)</w:t>
      </w:r>
    </w:p>
    <w:p w14:paraId="0959F9A9" w14:textId="01B173A9" w:rsidR="0074336B" w:rsidRDefault="008B1B4A" w:rsidP="0074336B">
      <w:pPr>
        <w:pStyle w:val="ListParagraph"/>
        <w:numPr>
          <w:ilvl w:val="0"/>
          <w:numId w:val="11"/>
        </w:numPr>
      </w:pPr>
      <w:r w:rsidRPr="008B1B4A">
        <w:t>lipodermatosclerosis</w:t>
      </w:r>
      <w:r>
        <w:t xml:space="preserve"> (low likelihood)</w:t>
      </w:r>
      <w:r w:rsidR="00042D12">
        <w:t xml:space="preserve"> </w:t>
      </w:r>
    </w:p>
    <w:p w14:paraId="3A7E9595" w14:textId="335F7436" w:rsidR="008B1B4A" w:rsidRDefault="008B1B4A" w:rsidP="0074336B">
      <w:pPr>
        <w:pStyle w:val="ListParagraph"/>
        <w:numPr>
          <w:ilvl w:val="0"/>
          <w:numId w:val="11"/>
        </w:numPr>
      </w:pPr>
      <w:r w:rsidRPr="008B1B4A">
        <w:t>haemosiderin deposition</w:t>
      </w:r>
      <w:r>
        <w:t xml:space="preserve"> (low likelihood)</w:t>
      </w:r>
      <w:r w:rsidR="00E00C3E">
        <w:t>.</w:t>
      </w:r>
    </w:p>
    <w:p w14:paraId="72062585" w14:textId="77777777" w:rsidR="003C54D8" w:rsidRDefault="003C54D8" w:rsidP="00F74B23"/>
    <w:p w14:paraId="6FB5602F" w14:textId="668E9E98" w:rsidR="009E227B" w:rsidRDefault="00E20732" w:rsidP="00F74B23">
      <w:r>
        <w:t>The NHS England</w:t>
      </w:r>
      <w:r w:rsidR="009E227B">
        <w:t xml:space="preserve"> decision</w:t>
      </w:r>
      <w:r w:rsidR="00F21904">
        <w:t xml:space="preserve"> aid</w:t>
      </w:r>
      <w:r w:rsidR="0006176A">
        <w:t xml:space="preserve">, in the section on the </w:t>
      </w:r>
      <w:r w:rsidR="00F21904">
        <w:t>effectiveness of treatment,</w:t>
      </w:r>
      <w:r w:rsidR="009E227B">
        <w:t xml:space="preserve"> </w:t>
      </w:r>
      <w:r w:rsidR="00AF6FFA">
        <w:t xml:space="preserve">estimates </w:t>
      </w:r>
      <w:r w:rsidR="00460668">
        <w:t xml:space="preserve">the </w:t>
      </w:r>
      <w:r w:rsidR="00AF6FFA" w:rsidRPr="00AF6FFA">
        <w:t>risk of return of ulcers at 1 year and 4 years</w:t>
      </w:r>
      <w:r w:rsidR="00460668">
        <w:t xml:space="preserve"> as:</w:t>
      </w:r>
    </w:p>
    <w:p w14:paraId="406DF6DF" w14:textId="45235590" w:rsidR="00F21904" w:rsidRDefault="00AB7E2C" w:rsidP="00F21904">
      <w:pPr>
        <w:pStyle w:val="ListParagraph"/>
        <w:numPr>
          <w:ilvl w:val="0"/>
          <w:numId w:val="11"/>
        </w:numPr>
      </w:pPr>
      <w:r>
        <w:t xml:space="preserve">in patients with </w:t>
      </w:r>
      <w:r w:rsidR="00EA4374">
        <w:t>stockings</w:t>
      </w:r>
      <w:r w:rsidR="00F353BD">
        <w:t xml:space="preserve">, </w:t>
      </w:r>
      <w:r w:rsidR="002A589C">
        <w:t xml:space="preserve">30 out of 100 return within </w:t>
      </w:r>
      <w:r w:rsidR="00EA4374">
        <w:t>1 year</w:t>
      </w:r>
      <w:r w:rsidR="002A589C">
        <w:t xml:space="preserve">, </w:t>
      </w:r>
      <w:r w:rsidR="009D4C78">
        <w:t>55 out of 100 return within 4 years</w:t>
      </w:r>
    </w:p>
    <w:p w14:paraId="43337545" w14:textId="77965598" w:rsidR="009E227B" w:rsidRDefault="009D4C78" w:rsidP="00F74B23">
      <w:pPr>
        <w:pStyle w:val="ListParagraph"/>
        <w:numPr>
          <w:ilvl w:val="0"/>
          <w:numId w:val="11"/>
        </w:numPr>
      </w:pPr>
      <w:r>
        <w:t xml:space="preserve">in patients </w:t>
      </w:r>
      <w:r w:rsidR="000F49EB">
        <w:t>undergoing</w:t>
      </w:r>
      <w:r>
        <w:t xml:space="preserve"> treatment</w:t>
      </w:r>
      <w:r w:rsidR="000F49EB">
        <w:t>s</w:t>
      </w:r>
      <w:r w:rsidR="00F353BD">
        <w:t xml:space="preserve">, </w:t>
      </w:r>
      <w:r w:rsidR="00ED0403">
        <w:t xml:space="preserve">around 10 </w:t>
      </w:r>
      <w:r w:rsidR="00020078">
        <w:t>out</w:t>
      </w:r>
      <w:r w:rsidR="00ED0403">
        <w:t xml:space="preserve"> of 100 return within 1 year, and 30 out of 100 return within 4 years</w:t>
      </w:r>
      <w:r w:rsidR="00590E90">
        <w:t>.</w:t>
      </w:r>
      <w:r w:rsidR="00904778" w:rsidRPr="00904778">
        <w:rPr>
          <w:vertAlign w:val="superscript"/>
        </w:rPr>
        <w:t>7</w:t>
      </w:r>
      <w:r w:rsidR="00904778">
        <w:rPr>
          <w:vertAlign w:val="superscript"/>
        </w:rPr>
        <w:br/>
      </w:r>
    </w:p>
    <w:p w14:paraId="1DDC9967" w14:textId="77777777" w:rsidR="00C60DEA" w:rsidRPr="00F74B23" w:rsidRDefault="00C60DEA" w:rsidP="00C60DEA"/>
    <w:p w14:paraId="4F1C9EEB" w14:textId="3E5F1B79" w:rsidR="00D16991" w:rsidRDefault="00F74B23" w:rsidP="00F74B23">
      <w:pPr>
        <w:pStyle w:val="Heading1"/>
      </w:pPr>
      <w:bookmarkStart w:id="21" w:name="_Toc198802243"/>
      <w:r>
        <w:t>Contraindications</w:t>
      </w:r>
      <w:bookmarkEnd w:id="21"/>
      <w:r>
        <w:t xml:space="preserve"> </w:t>
      </w:r>
    </w:p>
    <w:p w14:paraId="6925AC84" w14:textId="5D5E91B7" w:rsidR="007521D3" w:rsidRDefault="00904778" w:rsidP="00F74B23">
      <w:pPr>
        <w:rPr>
          <w:vertAlign w:val="superscript"/>
        </w:rPr>
      </w:pPr>
      <w:r>
        <w:t>This section details the c</w:t>
      </w:r>
      <w:r w:rsidR="007521D3">
        <w:t xml:space="preserve">ontraindications </w:t>
      </w:r>
      <w:r w:rsidR="00F353BD">
        <w:t xml:space="preserve">by </w:t>
      </w:r>
      <w:r w:rsidR="007521D3">
        <w:t>procedure</w:t>
      </w:r>
      <w:r w:rsidR="00C57E2C">
        <w:t xml:space="preserve"> </w:t>
      </w:r>
      <w:r w:rsidR="00E650CA">
        <w:t>according to</w:t>
      </w:r>
      <w:r w:rsidR="00CB3C6D">
        <w:t xml:space="preserve"> </w:t>
      </w:r>
      <w:r w:rsidR="00C57E2C">
        <w:t>DynaMed</w:t>
      </w:r>
      <w:r>
        <w:t>.</w:t>
      </w:r>
      <w:r w:rsidR="008366F1">
        <w:rPr>
          <w:vertAlign w:val="superscript"/>
        </w:rPr>
        <w:t>9</w:t>
      </w:r>
    </w:p>
    <w:p w14:paraId="0BBF0414" w14:textId="77777777" w:rsidR="00904778" w:rsidRDefault="00904778" w:rsidP="00F74B23"/>
    <w:p w14:paraId="628CB28F" w14:textId="2287CEFE" w:rsidR="00F74B23" w:rsidRDefault="003C54D8" w:rsidP="00A65C9C">
      <w:pPr>
        <w:pStyle w:val="Heading2"/>
      </w:pPr>
      <w:bookmarkStart w:id="22" w:name="_Toc198802244"/>
      <w:bookmarkStart w:id="23" w:name="_Toc198802245"/>
      <w:bookmarkEnd w:id="22"/>
      <w:r>
        <w:t>Endothermal ablation</w:t>
      </w:r>
      <w:bookmarkEnd w:id="23"/>
    </w:p>
    <w:p w14:paraId="28086521" w14:textId="4CE79E65" w:rsidR="003C54D8" w:rsidRPr="00904778" w:rsidRDefault="003C54D8" w:rsidP="003C54D8">
      <w:pPr>
        <w:rPr>
          <w:b/>
          <w:bCs/>
        </w:rPr>
      </w:pPr>
      <w:r w:rsidRPr="00904778">
        <w:rPr>
          <w:b/>
          <w:bCs/>
        </w:rPr>
        <w:t>Absolute contraindications:</w:t>
      </w:r>
    </w:p>
    <w:p w14:paraId="651C697E" w14:textId="6CB45E8F" w:rsidR="003C54D8" w:rsidRDefault="00042D12" w:rsidP="008D3355">
      <w:pPr>
        <w:pStyle w:val="ListParagraph"/>
        <w:numPr>
          <w:ilvl w:val="0"/>
          <w:numId w:val="6"/>
        </w:numPr>
      </w:pPr>
      <w:r>
        <w:t>a</w:t>
      </w:r>
      <w:r w:rsidR="003C54D8">
        <w:t>cute deep vein thrombosis</w:t>
      </w:r>
    </w:p>
    <w:p w14:paraId="0E08040F" w14:textId="5E9C73EE" w:rsidR="003C54D8" w:rsidRDefault="00042D12" w:rsidP="008D3355">
      <w:pPr>
        <w:pStyle w:val="ListParagraph"/>
        <w:numPr>
          <w:ilvl w:val="0"/>
          <w:numId w:val="6"/>
        </w:numPr>
      </w:pPr>
      <w:r>
        <w:t>s</w:t>
      </w:r>
      <w:r w:rsidR="003C54D8">
        <w:t>uperficial phlebitis</w:t>
      </w:r>
    </w:p>
    <w:p w14:paraId="64905B89" w14:textId="33186587" w:rsidR="003C54D8" w:rsidRDefault="00042D12" w:rsidP="008D3355">
      <w:pPr>
        <w:pStyle w:val="ListParagraph"/>
        <w:numPr>
          <w:ilvl w:val="0"/>
          <w:numId w:val="6"/>
        </w:numPr>
      </w:pPr>
      <w:r>
        <w:t>i</w:t>
      </w:r>
      <w:r w:rsidR="003C54D8">
        <w:t>nfections at the puncture site</w:t>
      </w:r>
      <w:r>
        <w:t xml:space="preserve"> </w:t>
      </w:r>
    </w:p>
    <w:p w14:paraId="1114776E" w14:textId="49FBAD61" w:rsidR="003C54D8" w:rsidRDefault="00042D12" w:rsidP="008D3355">
      <w:pPr>
        <w:pStyle w:val="ListParagraph"/>
        <w:numPr>
          <w:ilvl w:val="0"/>
          <w:numId w:val="6"/>
        </w:numPr>
      </w:pPr>
      <w:r>
        <w:t>d</w:t>
      </w:r>
      <w:r w:rsidR="003C54D8">
        <w:t>eep venous obstruction if the treatment vein is a functional collateral</w:t>
      </w:r>
      <w:r w:rsidR="00E00C3E">
        <w:t>.</w:t>
      </w:r>
    </w:p>
    <w:p w14:paraId="59367693" w14:textId="10747D7F" w:rsidR="003C54D8" w:rsidRPr="00904778" w:rsidRDefault="003C54D8" w:rsidP="003C54D8">
      <w:pPr>
        <w:rPr>
          <w:b/>
          <w:bCs/>
        </w:rPr>
      </w:pPr>
      <w:r w:rsidRPr="00904778">
        <w:rPr>
          <w:b/>
          <w:bCs/>
        </w:rPr>
        <w:t>Relative contraindications:</w:t>
      </w:r>
    </w:p>
    <w:p w14:paraId="196FC769" w14:textId="5FFF3791" w:rsidR="003C54D8" w:rsidRDefault="00042D12" w:rsidP="008D3355">
      <w:pPr>
        <w:pStyle w:val="ListParagraph"/>
        <w:numPr>
          <w:ilvl w:val="0"/>
          <w:numId w:val="7"/>
        </w:numPr>
      </w:pPr>
      <w:r>
        <w:t>e</w:t>
      </w:r>
      <w:r w:rsidR="003C54D8">
        <w:t>levated thromboembolic risk</w:t>
      </w:r>
    </w:p>
    <w:p w14:paraId="7041D119" w14:textId="5D03ABFC" w:rsidR="003C54D8" w:rsidRDefault="00042D12" w:rsidP="008D3355">
      <w:pPr>
        <w:pStyle w:val="ListParagraph"/>
        <w:numPr>
          <w:ilvl w:val="0"/>
          <w:numId w:val="7"/>
        </w:numPr>
      </w:pPr>
      <w:r>
        <w:t>i</w:t>
      </w:r>
      <w:r w:rsidR="003C54D8">
        <w:t>nability to receive local an</w:t>
      </w:r>
      <w:r>
        <w:t>a</w:t>
      </w:r>
      <w:r w:rsidR="003C54D8">
        <w:t>esthesia</w:t>
      </w:r>
    </w:p>
    <w:p w14:paraId="27FF90A3" w14:textId="5695DDF7" w:rsidR="003C54D8" w:rsidRDefault="00042D12" w:rsidP="008D3355">
      <w:pPr>
        <w:pStyle w:val="ListParagraph"/>
        <w:numPr>
          <w:ilvl w:val="0"/>
          <w:numId w:val="7"/>
        </w:numPr>
      </w:pPr>
      <w:r>
        <w:t>s</w:t>
      </w:r>
      <w:r w:rsidR="003C54D8">
        <w:t xml:space="preserve">ignificant uncompensated leg </w:t>
      </w:r>
      <w:r w:rsidR="00963AC0">
        <w:t>oedema</w:t>
      </w:r>
      <w:r w:rsidR="003C54D8">
        <w:t xml:space="preserve"> that cannot be monitored with ultrasound</w:t>
      </w:r>
    </w:p>
    <w:p w14:paraId="125C8E11" w14:textId="4E71364E" w:rsidR="003C54D8" w:rsidRDefault="00042D12" w:rsidP="008D3355">
      <w:pPr>
        <w:pStyle w:val="ListParagraph"/>
        <w:numPr>
          <w:ilvl w:val="0"/>
          <w:numId w:val="7"/>
        </w:numPr>
      </w:pPr>
      <w:r>
        <w:t>c</w:t>
      </w:r>
      <w:r w:rsidR="003C54D8">
        <w:t>oncomitant significant peripheral artery disease</w:t>
      </w:r>
    </w:p>
    <w:p w14:paraId="03C2D548" w14:textId="683D258D" w:rsidR="003C54D8" w:rsidRDefault="00042D12" w:rsidP="008D3355">
      <w:pPr>
        <w:pStyle w:val="ListParagraph"/>
        <w:numPr>
          <w:ilvl w:val="0"/>
          <w:numId w:val="7"/>
        </w:numPr>
      </w:pPr>
      <w:r>
        <w:t>i</w:t>
      </w:r>
      <w:r w:rsidR="003C54D8">
        <w:t>mmobile or barely ambulatory patients</w:t>
      </w:r>
    </w:p>
    <w:p w14:paraId="647CD9FC" w14:textId="0CD67C8D" w:rsidR="003C54D8" w:rsidRDefault="00042D12" w:rsidP="008D3355">
      <w:pPr>
        <w:pStyle w:val="ListParagraph"/>
        <w:numPr>
          <w:ilvl w:val="0"/>
          <w:numId w:val="7"/>
        </w:numPr>
      </w:pPr>
      <w:r>
        <w:t>u</w:t>
      </w:r>
      <w:r w:rsidR="003C54D8">
        <w:t>ncontrolled severe diseases</w:t>
      </w:r>
    </w:p>
    <w:p w14:paraId="430ED026" w14:textId="1B74D709" w:rsidR="003C54D8" w:rsidRDefault="00042D12" w:rsidP="008D3355">
      <w:pPr>
        <w:pStyle w:val="ListParagraph"/>
        <w:numPr>
          <w:ilvl w:val="0"/>
          <w:numId w:val="7"/>
        </w:numPr>
      </w:pPr>
      <w:r>
        <w:t>p</w:t>
      </w:r>
      <w:r w:rsidR="003C54D8">
        <w:t>regnancy</w:t>
      </w:r>
      <w:r w:rsidR="00E00C3E">
        <w:t>.</w:t>
      </w:r>
    </w:p>
    <w:p w14:paraId="32E72C32" w14:textId="77777777" w:rsidR="005804CB" w:rsidRDefault="005804CB" w:rsidP="005804CB"/>
    <w:p w14:paraId="40068F14" w14:textId="33327703" w:rsidR="00D16991" w:rsidRDefault="00D16991" w:rsidP="00A65C9C">
      <w:pPr>
        <w:pStyle w:val="Heading2"/>
      </w:pPr>
      <w:bookmarkStart w:id="24" w:name="_Toc198802246"/>
      <w:r>
        <w:t>Sclerotherapy</w:t>
      </w:r>
      <w:bookmarkEnd w:id="24"/>
    </w:p>
    <w:p w14:paraId="4F87BA9A" w14:textId="04527E7D" w:rsidR="00D16991" w:rsidRPr="008976EB" w:rsidRDefault="004C478C" w:rsidP="005804CB">
      <w:pPr>
        <w:rPr>
          <w:b/>
          <w:bCs/>
        </w:rPr>
      </w:pPr>
      <w:r w:rsidRPr="008976EB">
        <w:rPr>
          <w:b/>
          <w:bCs/>
        </w:rPr>
        <w:t>Absolute contraindications:</w:t>
      </w:r>
    </w:p>
    <w:p w14:paraId="3284E075" w14:textId="7B8C8C0E" w:rsidR="00507FF8" w:rsidRDefault="00E00C3E" w:rsidP="00507FF8">
      <w:pPr>
        <w:pStyle w:val="ListParagraph"/>
        <w:numPr>
          <w:ilvl w:val="0"/>
          <w:numId w:val="9"/>
        </w:numPr>
      </w:pPr>
      <w:r>
        <w:t>a</w:t>
      </w:r>
      <w:r w:rsidR="00507FF8">
        <w:t xml:space="preserve"> known allergy to the sclerosing agent</w:t>
      </w:r>
    </w:p>
    <w:p w14:paraId="2EA3A4E6" w14:textId="59E5DC56" w:rsidR="00507FF8" w:rsidRDefault="00E00C3E" w:rsidP="00507FF8">
      <w:pPr>
        <w:pStyle w:val="ListParagraph"/>
        <w:numPr>
          <w:ilvl w:val="0"/>
          <w:numId w:val="9"/>
        </w:numPr>
      </w:pPr>
      <w:r>
        <w:t>a</w:t>
      </w:r>
      <w:r w:rsidR="00507FF8">
        <w:t>cute deep vein thrombosis and/or pulmonary embolism</w:t>
      </w:r>
    </w:p>
    <w:p w14:paraId="56F9CE77" w14:textId="24F5B270" w:rsidR="00507FF8" w:rsidRDefault="00E00C3E" w:rsidP="00507FF8">
      <w:pPr>
        <w:pStyle w:val="ListParagraph"/>
        <w:numPr>
          <w:ilvl w:val="0"/>
          <w:numId w:val="9"/>
        </w:numPr>
      </w:pPr>
      <w:r>
        <w:t>l</w:t>
      </w:r>
      <w:r w:rsidR="00507FF8">
        <w:t xml:space="preserve">ocal infection in </w:t>
      </w:r>
      <w:r w:rsidR="00CE1480">
        <w:t xml:space="preserve">the </w:t>
      </w:r>
      <w:r w:rsidR="00507FF8">
        <w:t>sclerotherapy area or severe general infection</w:t>
      </w:r>
    </w:p>
    <w:p w14:paraId="48728CF0" w14:textId="10091018" w:rsidR="00507FF8" w:rsidRDefault="00E00C3E" w:rsidP="00507FF8">
      <w:pPr>
        <w:pStyle w:val="ListParagraph"/>
        <w:numPr>
          <w:ilvl w:val="0"/>
          <w:numId w:val="9"/>
        </w:numPr>
      </w:pPr>
      <w:r>
        <w:t>l</w:t>
      </w:r>
      <w:r w:rsidR="00507FF8">
        <w:t>ong</w:t>
      </w:r>
      <w:r w:rsidR="00CE1480">
        <w:t>-</w:t>
      </w:r>
      <w:r w:rsidR="00507FF8">
        <w:t>lasting immobility and bed confinement</w:t>
      </w:r>
    </w:p>
    <w:p w14:paraId="6D95A7A1" w14:textId="7593564D" w:rsidR="00507FF8" w:rsidRDefault="00E00C3E" w:rsidP="00507FF8">
      <w:pPr>
        <w:pStyle w:val="ListParagraph"/>
        <w:numPr>
          <w:ilvl w:val="0"/>
          <w:numId w:val="9"/>
        </w:numPr>
      </w:pPr>
      <w:r>
        <w:t>k</w:t>
      </w:r>
      <w:r w:rsidR="00507FF8">
        <w:t>nown symptomatic left-right shunt if using foam sclerotherapy as additional therapy</w:t>
      </w:r>
      <w:r>
        <w:t>.</w:t>
      </w:r>
    </w:p>
    <w:p w14:paraId="214CC087" w14:textId="422445F5" w:rsidR="00507FF8" w:rsidRPr="008976EB" w:rsidRDefault="00507FF8" w:rsidP="00507FF8">
      <w:pPr>
        <w:rPr>
          <w:b/>
          <w:bCs/>
        </w:rPr>
      </w:pPr>
      <w:r w:rsidRPr="008976EB">
        <w:rPr>
          <w:b/>
          <w:bCs/>
        </w:rPr>
        <w:t>Relative contraindications:</w:t>
      </w:r>
    </w:p>
    <w:p w14:paraId="1882CA65" w14:textId="049C95DC" w:rsidR="00507FF8" w:rsidRDefault="00E00C3E" w:rsidP="00507FF8">
      <w:pPr>
        <w:pStyle w:val="ListParagraph"/>
        <w:numPr>
          <w:ilvl w:val="0"/>
          <w:numId w:val="10"/>
        </w:numPr>
      </w:pPr>
      <w:r>
        <w:t>p</w:t>
      </w:r>
      <w:r w:rsidR="00507FF8">
        <w:t>regnancy</w:t>
      </w:r>
    </w:p>
    <w:p w14:paraId="6C9B45E0" w14:textId="46BB30CD" w:rsidR="00507FF8" w:rsidRDefault="00E00C3E" w:rsidP="00507FF8">
      <w:pPr>
        <w:pStyle w:val="ListParagraph"/>
        <w:numPr>
          <w:ilvl w:val="0"/>
          <w:numId w:val="10"/>
        </w:numPr>
      </w:pPr>
      <w:r>
        <w:t>b</w:t>
      </w:r>
      <w:r w:rsidR="00507FF8">
        <w:t>reastfeeding</w:t>
      </w:r>
    </w:p>
    <w:p w14:paraId="1BD4A3A1" w14:textId="2471E8F7" w:rsidR="00507FF8" w:rsidRDefault="00E00C3E" w:rsidP="00507FF8">
      <w:pPr>
        <w:pStyle w:val="ListParagraph"/>
        <w:numPr>
          <w:ilvl w:val="0"/>
          <w:numId w:val="10"/>
        </w:numPr>
      </w:pPr>
      <w:r>
        <w:t>s</w:t>
      </w:r>
      <w:r w:rsidR="00507FF8">
        <w:t>evere peripheral occlusive disease</w:t>
      </w:r>
    </w:p>
    <w:p w14:paraId="479617B4" w14:textId="41030460" w:rsidR="00507FF8" w:rsidRDefault="00E00C3E" w:rsidP="00507FF8">
      <w:pPr>
        <w:pStyle w:val="ListParagraph"/>
        <w:numPr>
          <w:ilvl w:val="0"/>
          <w:numId w:val="10"/>
        </w:numPr>
      </w:pPr>
      <w:r>
        <w:t>p</w:t>
      </w:r>
      <w:r w:rsidR="00507FF8">
        <w:t>oor general health</w:t>
      </w:r>
    </w:p>
    <w:p w14:paraId="6418216A" w14:textId="2BCBBD01" w:rsidR="00507FF8" w:rsidRDefault="00E00C3E" w:rsidP="00507FF8">
      <w:pPr>
        <w:pStyle w:val="ListParagraph"/>
        <w:numPr>
          <w:ilvl w:val="0"/>
          <w:numId w:val="10"/>
        </w:numPr>
      </w:pPr>
      <w:r>
        <w:t>s</w:t>
      </w:r>
      <w:r w:rsidR="00507FF8">
        <w:t>trong predisposition to allergies</w:t>
      </w:r>
    </w:p>
    <w:p w14:paraId="0CC6D539" w14:textId="421E98F1" w:rsidR="00507FF8" w:rsidRDefault="00E00C3E" w:rsidP="00507FF8">
      <w:pPr>
        <w:pStyle w:val="ListParagraph"/>
        <w:numPr>
          <w:ilvl w:val="0"/>
          <w:numId w:val="10"/>
        </w:numPr>
      </w:pPr>
      <w:r>
        <w:t>h</w:t>
      </w:r>
      <w:r w:rsidR="00507FF8">
        <w:t>igh thromboembolic risk</w:t>
      </w:r>
    </w:p>
    <w:p w14:paraId="0DE96AED" w14:textId="77777777" w:rsidR="00CE1480" w:rsidRDefault="00E00C3E" w:rsidP="00CE1480">
      <w:pPr>
        <w:pStyle w:val="ListParagraph"/>
        <w:numPr>
          <w:ilvl w:val="0"/>
          <w:numId w:val="10"/>
        </w:numPr>
      </w:pPr>
      <w:r>
        <w:t>a</w:t>
      </w:r>
      <w:r w:rsidR="00507FF8">
        <w:t>cute superficial venous thrombosis</w:t>
      </w:r>
      <w:r>
        <w:t xml:space="preserve"> </w:t>
      </w:r>
    </w:p>
    <w:p w14:paraId="6FB2A35F" w14:textId="4EB7B0CE" w:rsidR="004C478C" w:rsidRDefault="00E00C3E" w:rsidP="00CE1480">
      <w:pPr>
        <w:pStyle w:val="ListParagraph"/>
        <w:numPr>
          <w:ilvl w:val="0"/>
          <w:numId w:val="10"/>
        </w:numPr>
      </w:pPr>
      <w:r>
        <w:t>f</w:t>
      </w:r>
      <w:r w:rsidR="00507FF8">
        <w:t>or foam sclerotherapy, neurologic issues after previous foam sclerotherapy</w:t>
      </w:r>
      <w:r w:rsidR="00CE1480">
        <w:t>,</w:t>
      </w:r>
      <w:r w:rsidR="00507FF8">
        <w:t xml:space="preserve"> such as migraine</w:t>
      </w:r>
      <w:r>
        <w:t>.</w:t>
      </w:r>
    </w:p>
    <w:p w14:paraId="2C26280F" w14:textId="77777777" w:rsidR="005804CB" w:rsidRPr="00F74B23" w:rsidRDefault="005804CB" w:rsidP="005804CB"/>
    <w:p w14:paraId="1498CF1F" w14:textId="49CE1543" w:rsidR="00CF0A81" w:rsidRDefault="00CF0A81" w:rsidP="00250019">
      <w:pPr>
        <w:pStyle w:val="Heading1"/>
      </w:pPr>
      <w:bookmarkStart w:id="25" w:name="_Toc198802247"/>
      <w:r w:rsidRPr="001636EF">
        <w:t>Alternatives to treatment</w:t>
      </w:r>
      <w:bookmarkEnd w:id="25"/>
    </w:p>
    <w:p w14:paraId="76338D85" w14:textId="7806BD34" w:rsidR="00740BDB" w:rsidRDefault="009470B0" w:rsidP="00376994">
      <w:r>
        <w:t>The A</w:t>
      </w:r>
      <w:r w:rsidR="004F5492">
        <w:t>O</w:t>
      </w:r>
      <w:r>
        <w:t>MRC</w:t>
      </w:r>
      <w:r>
        <w:rPr>
          <w:vertAlign w:val="superscript"/>
        </w:rPr>
        <w:t xml:space="preserve"> </w:t>
      </w:r>
      <w:r>
        <w:t>suggests that c</w:t>
      </w:r>
      <w:r w:rsidRPr="009470B0">
        <w:t>ompression stockings can be helpful</w:t>
      </w:r>
      <w:r w:rsidR="00CE1480">
        <w:t>,</w:t>
      </w:r>
      <w:r w:rsidRPr="009470B0">
        <w:t xml:space="preserve"> but only if suitable treatments are not possible</w:t>
      </w:r>
      <w:r w:rsidR="000A050D">
        <w:t>.</w:t>
      </w:r>
      <w:r w:rsidR="00590E90" w:rsidRPr="008976EB">
        <w:rPr>
          <w:vertAlign w:val="superscript"/>
        </w:rPr>
        <w:t>1</w:t>
      </w:r>
      <w:r w:rsidRPr="009470B0">
        <w:t xml:space="preserve"> </w:t>
      </w:r>
      <w:r w:rsidR="00D76450">
        <w:t>They suggest r</w:t>
      </w:r>
      <w:r w:rsidRPr="009470B0">
        <w:t xml:space="preserve">egular exercise, avoiding standing for long periods of time or elevating the affected area when resting may </w:t>
      </w:r>
      <w:r w:rsidR="00D76450">
        <w:t>be beneficial</w:t>
      </w:r>
      <w:r w:rsidRPr="009470B0">
        <w:t xml:space="preserve">. </w:t>
      </w:r>
      <w:r w:rsidR="00D76450">
        <w:t>Also m</w:t>
      </w:r>
      <w:r w:rsidRPr="009470B0">
        <w:t xml:space="preserve">aintaining a healthy weight </w:t>
      </w:r>
      <w:r w:rsidR="00D76450">
        <w:t>is important</w:t>
      </w:r>
      <w:r w:rsidRPr="009470B0">
        <w:t>.</w:t>
      </w:r>
    </w:p>
    <w:p w14:paraId="6EC69E2F" w14:textId="2B54332E" w:rsidR="004B5E12" w:rsidRDefault="00102BB7" w:rsidP="00376994">
      <w:r>
        <w:t xml:space="preserve">NICE advises that non-interventional treatment </w:t>
      </w:r>
      <w:r w:rsidR="00590E90">
        <w:t>in the form of</w:t>
      </w:r>
      <w:r>
        <w:t xml:space="preserve"> </w:t>
      </w:r>
      <w:r w:rsidRPr="00D65B85">
        <w:t xml:space="preserve">compression hosiery to treat varicose veins </w:t>
      </w:r>
      <w:r>
        <w:t xml:space="preserve">should only be offered in cases when </w:t>
      </w:r>
      <w:r w:rsidRPr="00D65B85">
        <w:t>interventional treatment is unsuitable</w:t>
      </w:r>
      <w:r>
        <w:t>.</w:t>
      </w:r>
      <w:r w:rsidR="00590E90" w:rsidRPr="00FB702D">
        <w:rPr>
          <w:vertAlign w:val="superscript"/>
        </w:rPr>
        <w:t>2</w:t>
      </w:r>
    </w:p>
    <w:p w14:paraId="66B0B61C" w14:textId="35956316" w:rsidR="00BE6D74" w:rsidRDefault="004F5492" w:rsidP="00740BDB">
      <w:r>
        <w:t>A</w:t>
      </w:r>
      <w:r w:rsidR="00AE2357">
        <w:t>ccording to DynaMed</w:t>
      </w:r>
      <w:r w:rsidR="00CB7587">
        <w:t>,</w:t>
      </w:r>
      <w:r w:rsidR="00892ECC">
        <w:rPr>
          <w:vertAlign w:val="superscript"/>
        </w:rPr>
        <w:t>9</w:t>
      </w:r>
      <w:r>
        <w:t xml:space="preserve"> conservative management</w:t>
      </w:r>
      <w:r>
        <w:rPr>
          <w:vertAlign w:val="superscript"/>
        </w:rPr>
        <w:t xml:space="preserve"> </w:t>
      </w:r>
      <w:r w:rsidR="00AE2357">
        <w:t>should be reserved for p</w:t>
      </w:r>
      <w:r w:rsidR="00740BDB">
        <w:t>regnant patients</w:t>
      </w:r>
      <w:r w:rsidR="00AE2357">
        <w:t>, p</w:t>
      </w:r>
      <w:r w:rsidR="00740BDB">
        <w:t>atients who are not candidates for endovenous procedures or surgery</w:t>
      </w:r>
      <w:r w:rsidR="00AE2357">
        <w:t>, or p</w:t>
      </w:r>
      <w:r w:rsidR="00740BDB">
        <w:t>atients who do not want intervention</w:t>
      </w:r>
      <w:r w:rsidR="00AE2357">
        <w:t>.</w:t>
      </w:r>
      <w:r w:rsidR="00590E90">
        <w:t xml:space="preserve"> </w:t>
      </w:r>
      <w:r w:rsidR="00BE6D74">
        <w:t>It may include:</w:t>
      </w:r>
    </w:p>
    <w:p w14:paraId="2E1C373E" w14:textId="613B3202" w:rsidR="00740BDB" w:rsidRDefault="00CB7587" w:rsidP="002A7CC1">
      <w:pPr>
        <w:pStyle w:val="ListParagraph"/>
        <w:numPr>
          <w:ilvl w:val="0"/>
          <w:numId w:val="14"/>
        </w:numPr>
      </w:pPr>
      <w:r>
        <w:t>e</w:t>
      </w:r>
      <w:r w:rsidR="00740BDB">
        <w:t>levation of the affected leg</w:t>
      </w:r>
    </w:p>
    <w:p w14:paraId="0B801AF2" w14:textId="36FA5BE1" w:rsidR="00740BDB" w:rsidRDefault="00CB7587" w:rsidP="002A7CC1">
      <w:pPr>
        <w:pStyle w:val="ListParagraph"/>
        <w:numPr>
          <w:ilvl w:val="0"/>
          <w:numId w:val="14"/>
        </w:numPr>
      </w:pPr>
      <w:r>
        <w:t>a</w:t>
      </w:r>
      <w:r w:rsidR="00740BDB">
        <w:t>voidance of prolonged standing and straining</w:t>
      </w:r>
    </w:p>
    <w:p w14:paraId="4C966C16" w14:textId="3DA3A8D2" w:rsidR="00740BDB" w:rsidRDefault="00CB7587" w:rsidP="002A7CC1">
      <w:pPr>
        <w:pStyle w:val="ListParagraph"/>
        <w:numPr>
          <w:ilvl w:val="0"/>
          <w:numId w:val="14"/>
        </w:numPr>
      </w:pPr>
      <w:r>
        <w:t>e</w:t>
      </w:r>
      <w:r w:rsidR="00740BDB">
        <w:t>xercise</w:t>
      </w:r>
    </w:p>
    <w:p w14:paraId="41BD6E58" w14:textId="4A905136" w:rsidR="00740BDB" w:rsidRDefault="00CB7587" w:rsidP="002A7CC1">
      <w:pPr>
        <w:pStyle w:val="ListParagraph"/>
        <w:numPr>
          <w:ilvl w:val="0"/>
          <w:numId w:val="14"/>
        </w:numPr>
      </w:pPr>
      <w:r>
        <w:t>w</w:t>
      </w:r>
      <w:r w:rsidR="00740BDB">
        <w:t>earing non</w:t>
      </w:r>
      <w:r>
        <w:t>-</w:t>
      </w:r>
      <w:r w:rsidR="00740BDB">
        <w:t>restrictive clothing</w:t>
      </w:r>
    </w:p>
    <w:p w14:paraId="1B3F0475" w14:textId="1D88650D" w:rsidR="00740BDB" w:rsidRDefault="00CB7587" w:rsidP="002A7CC1">
      <w:pPr>
        <w:pStyle w:val="ListParagraph"/>
        <w:numPr>
          <w:ilvl w:val="0"/>
          <w:numId w:val="14"/>
        </w:numPr>
      </w:pPr>
      <w:r>
        <w:t>w</w:t>
      </w:r>
      <w:r w:rsidR="00740BDB">
        <w:t>eight loss for patients with obesity</w:t>
      </w:r>
    </w:p>
    <w:p w14:paraId="5B9AB1DA" w14:textId="3E2D8D66" w:rsidR="00740BDB" w:rsidRDefault="00CB7587" w:rsidP="002A7CC1">
      <w:pPr>
        <w:pStyle w:val="ListParagraph"/>
        <w:numPr>
          <w:ilvl w:val="0"/>
          <w:numId w:val="14"/>
        </w:numPr>
      </w:pPr>
      <w:r>
        <w:t>i</w:t>
      </w:r>
      <w:r w:rsidR="00740BDB">
        <w:t xml:space="preserve">nterventions to reduce peripheral </w:t>
      </w:r>
      <w:r>
        <w:t>o</w:t>
      </w:r>
      <w:r w:rsidR="00740BDB">
        <w:t>edema</w:t>
      </w:r>
    </w:p>
    <w:p w14:paraId="697F70C0" w14:textId="5E227E1D" w:rsidR="00740BDB" w:rsidRDefault="00CB7587" w:rsidP="002A7CC1">
      <w:pPr>
        <w:pStyle w:val="ListParagraph"/>
        <w:numPr>
          <w:ilvl w:val="0"/>
          <w:numId w:val="14"/>
        </w:numPr>
      </w:pPr>
      <w:r>
        <w:t>m</w:t>
      </w:r>
      <w:r w:rsidR="00740BDB">
        <w:t>odifications of cardiovascular risk factors</w:t>
      </w:r>
      <w:r>
        <w:t>.</w:t>
      </w:r>
    </w:p>
    <w:p w14:paraId="771D0089" w14:textId="77777777" w:rsidR="00376994" w:rsidRDefault="00376994" w:rsidP="00376994"/>
    <w:p w14:paraId="5EE103F8" w14:textId="47B119F7" w:rsidR="00C60DEA" w:rsidRDefault="00C60DEA">
      <w:r>
        <w:br w:type="page"/>
      </w:r>
    </w:p>
    <w:p w14:paraId="09B6E15E" w14:textId="77777777" w:rsidR="00666514" w:rsidRDefault="00666514" w:rsidP="00250019">
      <w:pPr>
        <w:pStyle w:val="Heading1"/>
      </w:pPr>
      <w:bookmarkStart w:id="26" w:name="_Toc198802248"/>
      <w:r w:rsidRPr="001636EF">
        <w:t>References</w:t>
      </w:r>
      <w:bookmarkEnd w:id="26"/>
    </w:p>
    <w:p w14:paraId="21F676A3" w14:textId="7F59344B" w:rsidR="00690613" w:rsidRDefault="00690613" w:rsidP="00F05854">
      <w:pPr>
        <w:pStyle w:val="ListParagraph"/>
        <w:numPr>
          <w:ilvl w:val="0"/>
          <w:numId w:val="8"/>
        </w:numPr>
        <w:spacing w:after="0"/>
      </w:pPr>
      <w:r w:rsidRPr="00690613">
        <w:t xml:space="preserve">Academy of Medical Royal Colleges (AOMRC). Varicose vein interventions. 2024 [cited 2025 May 15]; Available from: </w:t>
      </w:r>
      <w:hyperlink r:id="rId17" w:history="1">
        <w:r w:rsidR="00D02D32" w:rsidRPr="005E3C79">
          <w:rPr>
            <w:rStyle w:val="Hyperlink"/>
          </w:rPr>
          <w:t>https://ebi.aomrc.org.uk/interventions/varicose-vein-interventions/</w:t>
        </w:r>
      </w:hyperlink>
      <w:r w:rsidRPr="00690613">
        <w:t>.</w:t>
      </w:r>
    </w:p>
    <w:p w14:paraId="5B6A4A45" w14:textId="60BA1C3C" w:rsidR="00D02D32" w:rsidRDefault="00D02D32" w:rsidP="00F05854">
      <w:pPr>
        <w:pStyle w:val="ListParagraph"/>
        <w:numPr>
          <w:ilvl w:val="0"/>
          <w:numId w:val="8"/>
        </w:numPr>
        <w:spacing w:after="0"/>
      </w:pPr>
      <w:r w:rsidRPr="00D02D32">
        <w:t xml:space="preserve">National Institute for Health and Care Excellence (NICE). Varicose veins: diagnosis and management (CG168). 2013 [cited 2025 May 15]; Available from: </w:t>
      </w:r>
      <w:hyperlink r:id="rId18" w:history="1">
        <w:r w:rsidR="001460D3" w:rsidRPr="005E3C79">
          <w:rPr>
            <w:rStyle w:val="Hyperlink"/>
          </w:rPr>
          <w:t>https://www.nice.org.uk/guidance/cg168</w:t>
        </w:r>
      </w:hyperlink>
      <w:r w:rsidRPr="00D02D32">
        <w:t>.</w:t>
      </w:r>
    </w:p>
    <w:p w14:paraId="2CC911C7" w14:textId="34ECE4F9" w:rsidR="00B14963" w:rsidRDefault="00B14963" w:rsidP="00F05854">
      <w:pPr>
        <w:pStyle w:val="ListParagraph"/>
        <w:numPr>
          <w:ilvl w:val="0"/>
          <w:numId w:val="8"/>
        </w:numPr>
        <w:spacing w:after="0"/>
      </w:pPr>
      <w:r w:rsidRPr="00B14963">
        <w:t xml:space="preserve">National Institute for Health and Care Excellence (NICE). Varicose veins. 2024 [cited 2025 May 20]; Available from: </w:t>
      </w:r>
      <w:hyperlink r:id="rId19" w:history="1">
        <w:r w:rsidRPr="00805AB0">
          <w:rPr>
            <w:rStyle w:val="Hyperlink"/>
          </w:rPr>
          <w:t>https://cks.nice.org.uk/topics/varicose-veins/</w:t>
        </w:r>
      </w:hyperlink>
      <w:r w:rsidRPr="00B14963">
        <w:t>.</w:t>
      </w:r>
    </w:p>
    <w:p w14:paraId="4E77AA9D" w14:textId="122A0262" w:rsidR="0050726F" w:rsidRDefault="0050726F" w:rsidP="0050726F">
      <w:pPr>
        <w:pStyle w:val="ListParagraph"/>
        <w:numPr>
          <w:ilvl w:val="0"/>
          <w:numId w:val="8"/>
        </w:numPr>
        <w:spacing w:after="0"/>
      </w:pPr>
      <w:r w:rsidRPr="001460D3">
        <w:t xml:space="preserve">BMJ Best Practice. Varicose veins. 2023 [cited 2025 May 15]; Available from: </w:t>
      </w:r>
      <w:hyperlink r:id="rId20" w:history="1">
        <w:r w:rsidRPr="005E3C79">
          <w:rPr>
            <w:rStyle w:val="Hyperlink"/>
          </w:rPr>
          <w:t>https://bestpractice.bmj.com/topics/en-gb/630</w:t>
        </w:r>
      </w:hyperlink>
      <w:r w:rsidRPr="001460D3">
        <w:t>.</w:t>
      </w:r>
    </w:p>
    <w:p w14:paraId="5DC89C1C" w14:textId="2E9DE217" w:rsidR="002F35DE" w:rsidRDefault="002F35DE" w:rsidP="002F35DE">
      <w:pPr>
        <w:pStyle w:val="ListParagraph"/>
        <w:numPr>
          <w:ilvl w:val="0"/>
          <w:numId w:val="8"/>
        </w:numPr>
        <w:spacing w:after="0"/>
      </w:pPr>
      <w:r w:rsidRPr="001E5D1F">
        <w:t xml:space="preserve">Gloviczki P, Lawrence PF, Wasan SM, Meissner MH, Almeida J, Brown KR, et al. The 2023 Society for Vascular Surgery, American Venous Forum, and American Vein and Lymphatic Society clinical practice guidelines for the management of varicose veins of the lower extremities. Part II: Endorsed by the Society of Interventional Radiology and the Society for Vascular Medicine. J Vasc Surg Venous Lymphat Disord. 2024;12(1):101670. </w:t>
      </w:r>
      <w:hyperlink r:id="rId21" w:history="1">
        <w:r w:rsidRPr="00D678B6">
          <w:rPr>
            <w:rStyle w:val="Hyperlink"/>
          </w:rPr>
          <w:t>https://dx.doi.org/10.1016/j.jvsv.2023.08.011</w:t>
        </w:r>
      </w:hyperlink>
      <w:r>
        <w:t>.</w:t>
      </w:r>
    </w:p>
    <w:p w14:paraId="36D61D4F" w14:textId="04DAB43B" w:rsidR="00B51037" w:rsidRDefault="00B51037" w:rsidP="00F05854">
      <w:pPr>
        <w:pStyle w:val="ListParagraph"/>
        <w:numPr>
          <w:ilvl w:val="0"/>
          <w:numId w:val="8"/>
        </w:numPr>
        <w:spacing w:after="0"/>
      </w:pPr>
      <w:r w:rsidRPr="00C90F90">
        <w:t>De Maeseneer MG, Kakkos SK, Aherne T, Baekgaard N, Black S, Blomgren L, et al. Editor's Choice – European Society for Vascular Surgery (ESVS) 2022 Clinical Practice Guidelines on the Management of Chronic Venous Disease of the Lower Limbs. Eur J</w:t>
      </w:r>
      <w:r w:rsidR="00143D96">
        <w:t xml:space="preserve"> </w:t>
      </w:r>
      <w:r w:rsidRPr="00C90F90">
        <w:t xml:space="preserve">Vasc Endovasc Sur. 2022;63(2):184-267. </w:t>
      </w:r>
      <w:hyperlink r:id="rId22" w:history="1">
        <w:r w:rsidRPr="00D678B6">
          <w:rPr>
            <w:rStyle w:val="Hyperlink"/>
          </w:rPr>
          <w:t>https://doi.org/10.1016/j.ejvs.2021.12.024</w:t>
        </w:r>
      </w:hyperlink>
    </w:p>
    <w:p w14:paraId="2C9B5969" w14:textId="59E52F20" w:rsidR="001460D3" w:rsidRDefault="001460D3" w:rsidP="00F05854">
      <w:pPr>
        <w:pStyle w:val="ListParagraph"/>
        <w:numPr>
          <w:ilvl w:val="0"/>
          <w:numId w:val="8"/>
        </w:numPr>
        <w:spacing w:after="0"/>
      </w:pPr>
      <w:r w:rsidRPr="001460D3">
        <w:t xml:space="preserve">NHS England. Decision support tool: making a decision about treatment for varicose veins. 2025 [cited 2025 May 15]; Available from: </w:t>
      </w:r>
      <w:hyperlink r:id="rId23" w:history="1">
        <w:r w:rsidRPr="005E3C79">
          <w:rPr>
            <w:rStyle w:val="Hyperlink"/>
          </w:rPr>
          <w:t>https://www.england.nhs.uk/publication/decision-support-tool-making-a-decision-about-treatment-for-varicose-veins/</w:t>
        </w:r>
      </w:hyperlink>
      <w:r w:rsidRPr="001460D3">
        <w:t>.</w:t>
      </w:r>
    </w:p>
    <w:p w14:paraId="49ECD750" w14:textId="458F8001" w:rsidR="00F16A87" w:rsidRPr="001B094F" w:rsidRDefault="00766F33" w:rsidP="001B094F">
      <w:pPr>
        <w:pStyle w:val="ListParagraph"/>
        <w:numPr>
          <w:ilvl w:val="0"/>
          <w:numId w:val="8"/>
        </w:numPr>
        <w:autoSpaceDE w:val="0"/>
        <w:autoSpaceDN w:val="0"/>
        <w:adjustRightInd w:val="0"/>
        <w:spacing w:after="0"/>
        <w:rPr>
          <w:kern w:val="0"/>
          <w:shd w:val="clear" w:color="auto" w:fill="auto"/>
          <w:lang w:eastAsia="en-US"/>
        </w:rPr>
      </w:pPr>
      <w:r w:rsidRPr="001B094F">
        <w:rPr>
          <w:kern w:val="0"/>
          <w:shd w:val="clear" w:color="auto" w:fill="auto"/>
          <w:lang w:eastAsia="en-US"/>
        </w:rPr>
        <w:t xml:space="preserve">National Institute for Health and Care Excellence (NICE). Varicose veins (CG168) Appendix A: decision matrix 2-year surveillance. 2016 [cited 2025 May 20]; Available from: </w:t>
      </w:r>
      <w:hyperlink r:id="rId24" w:history="1">
        <w:r w:rsidR="009148FF" w:rsidRPr="001B094F">
          <w:rPr>
            <w:rStyle w:val="Hyperlink"/>
          </w:rPr>
          <w:t>https://www.nice.org.uk/guidance/cg168/evidence/appendix-a-decision-matrix-pdf-2307804014</w:t>
        </w:r>
      </w:hyperlink>
      <w:r w:rsidRPr="001B094F">
        <w:rPr>
          <w:kern w:val="0"/>
          <w:shd w:val="clear" w:color="auto" w:fill="auto"/>
          <w:lang w:eastAsia="en-US"/>
        </w:rPr>
        <w:t>.</w:t>
      </w:r>
      <w:r w:rsidR="009148FF">
        <w:rPr>
          <w:kern w:val="0"/>
          <w:shd w:val="clear" w:color="auto" w:fill="auto"/>
          <w:lang w:eastAsia="en-US"/>
        </w:rPr>
        <w:t xml:space="preserve"> </w:t>
      </w:r>
    </w:p>
    <w:p w14:paraId="72C41C52" w14:textId="30DAD951" w:rsidR="00207CFF" w:rsidRDefault="00355739" w:rsidP="00AE2357">
      <w:pPr>
        <w:pStyle w:val="ListParagraph"/>
        <w:numPr>
          <w:ilvl w:val="0"/>
          <w:numId w:val="8"/>
        </w:numPr>
        <w:spacing w:after="0"/>
      </w:pPr>
      <w:r w:rsidRPr="00355739">
        <w:t xml:space="preserve">DynaMed. Varicose Veins. 2024 [cited 2025 May 15]; Available from: </w:t>
      </w:r>
      <w:hyperlink r:id="rId25" w:history="1">
        <w:r w:rsidRPr="00730A74">
          <w:rPr>
            <w:rStyle w:val="Hyperlink"/>
          </w:rPr>
          <w:t>https://www.dynamed.com/condition/varicose-veins</w:t>
        </w:r>
      </w:hyperlink>
      <w:r w:rsidRPr="00355739">
        <w:t>.</w:t>
      </w:r>
    </w:p>
    <w:p w14:paraId="3DB3C062" w14:textId="77777777" w:rsidR="001E5D1F" w:rsidRDefault="001E5D1F" w:rsidP="001E5D1F">
      <w:pPr>
        <w:spacing w:after="0"/>
        <w:ind w:left="66"/>
      </w:pPr>
    </w:p>
    <w:p w14:paraId="4A4AFCF1" w14:textId="77777777" w:rsidR="00C90F90" w:rsidRPr="001460D3" w:rsidRDefault="00C90F90" w:rsidP="001460D3">
      <w:pPr>
        <w:spacing w:after="0"/>
        <w:ind w:left="66"/>
        <w:rPr>
          <w:highlight w:val="yellow"/>
        </w:rPr>
      </w:pPr>
    </w:p>
    <w:p w14:paraId="4EC18758" w14:textId="7CB797DD" w:rsidR="00F74B23" w:rsidRPr="00250019" w:rsidRDefault="00F74B23" w:rsidP="008E0011"/>
    <w:p w14:paraId="2FDDB7E1" w14:textId="77777777" w:rsidR="008E0011" w:rsidRDefault="008E0011">
      <w:pPr>
        <w:rPr>
          <w:b/>
          <w:bCs/>
          <w:color w:val="009242"/>
          <w:sz w:val="28"/>
          <w:szCs w:val="28"/>
        </w:rPr>
      </w:pPr>
      <w:r>
        <w:br w:type="page"/>
      </w:r>
    </w:p>
    <w:p w14:paraId="0C2F7526" w14:textId="749C6BBA" w:rsidR="00267304" w:rsidRPr="001636EF" w:rsidRDefault="00A0044F" w:rsidP="00250019">
      <w:pPr>
        <w:pStyle w:val="Heading1"/>
      </w:pPr>
      <w:bookmarkStart w:id="27" w:name="_Toc198802249"/>
      <w:r w:rsidRPr="001636EF">
        <w:t>Appendi</w:t>
      </w:r>
      <w:r w:rsidR="00267304" w:rsidRPr="001636EF">
        <w:t>ces</w:t>
      </w:r>
      <w:bookmarkEnd w:id="27"/>
    </w:p>
    <w:p w14:paraId="6406952F" w14:textId="5ABA2A3E" w:rsidR="003D7F19" w:rsidRPr="008E0011" w:rsidRDefault="00267304" w:rsidP="008E0011">
      <w:pPr>
        <w:pStyle w:val="Heading2"/>
      </w:pPr>
      <w:bookmarkStart w:id="28" w:name="_Toc198802250"/>
      <w:r w:rsidRPr="008E0011">
        <w:t>Appendix</w:t>
      </w:r>
      <w:r w:rsidR="00A0044F" w:rsidRPr="008E0011">
        <w:t xml:space="preserve"> </w:t>
      </w:r>
      <w:r w:rsidR="003D7F19" w:rsidRPr="008E0011">
        <w:t>1–</w:t>
      </w:r>
      <w:r w:rsidR="005F636F" w:rsidRPr="008E0011">
        <w:t>Searching and screening m</w:t>
      </w:r>
      <w:r w:rsidR="003D7F19" w:rsidRPr="008E0011">
        <w:t>ethod</w:t>
      </w:r>
      <w:bookmarkEnd w:id="28"/>
    </w:p>
    <w:p w14:paraId="6C32E104" w14:textId="20FCF197" w:rsidR="003D7F19" w:rsidRPr="0074183C" w:rsidRDefault="003D7F19" w:rsidP="003D7F19">
      <w:r w:rsidRPr="001636EF">
        <w:t>We searched MEDLINE</w:t>
      </w:r>
      <w:r w:rsidR="00D86AEC">
        <w:t xml:space="preserve"> and </w:t>
      </w:r>
      <w:r w:rsidRPr="001636EF">
        <w:t xml:space="preserve">Embase on Ovid, the Cochrane Database of Systematic Reviews, DynaMed and </w:t>
      </w:r>
      <w:r w:rsidR="00721578">
        <w:t>BMJ</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041176D9" w14:textId="77777777" w:rsidR="00CD1563" w:rsidRPr="0074183C" w:rsidRDefault="00CD1563" w:rsidP="00E1680D"/>
    <w:p w14:paraId="1447A628" w14:textId="41B8AC48" w:rsidR="00A0044F" w:rsidRDefault="00CB7C02" w:rsidP="008E0011">
      <w:pPr>
        <w:pStyle w:val="Heading2"/>
      </w:pPr>
      <w:bookmarkStart w:id="29" w:name="_Toc198802251"/>
      <w:r w:rsidRPr="0074183C">
        <w:t>Appendix 2</w:t>
      </w:r>
      <w:r w:rsidR="00AF6422" w:rsidRPr="0074183C">
        <w:t>–</w:t>
      </w:r>
      <w:r w:rsidR="00A0044F" w:rsidRPr="0074183C">
        <w:t>Search strategy</w:t>
      </w:r>
      <w:bookmarkEnd w:id="29"/>
    </w:p>
    <w:p w14:paraId="54D84CEC" w14:textId="614EB49C" w:rsidR="00F20C3E" w:rsidRDefault="00F20C3E" w:rsidP="00F20C3E">
      <w:r>
        <w:t>M</w:t>
      </w:r>
      <w:r w:rsidR="002C371B">
        <w:t>EDLINE</w:t>
      </w:r>
    </w:p>
    <w:p w14:paraId="29EDCFF7" w14:textId="20D58C7D" w:rsidR="00F20C3E" w:rsidRDefault="00F20C3E" w:rsidP="00F20C3E">
      <w:r>
        <w:t>Ovid MEDLINE(R) ALL &lt;1946 to May 15, 2025&gt;</w:t>
      </w:r>
    </w:p>
    <w:p w14:paraId="2350119F" w14:textId="77777777" w:rsidR="00F20C3E" w:rsidRDefault="00F20C3E" w:rsidP="00F20C3E">
      <w:r>
        <w:t>1</w:t>
      </w:r>
      <w:r>
        <w:tab/>
        <w:t>exp varicose veins/</w:t>
      </w:r>
      <w:r>
        <w:tab/>
        <w:t>20109</w:t>
      </w:r>
    </w:p>
    <w:p w14:paraId="51C0C0E6" w14:textId="77777777" w:rsidR="00F20C3E" w:rsidRDefault="00F20C3E" w:rsidP="00F20C3E">
      <w:r>
        <w:t>2</w:t>
      </w:r>
      <w:r>
        <w:tab/>
        <w:t>(varicos* adj2 vein*).ti,ab,kf.</w:t>
      </w:r>
      <w:r>
        <w:tab/>
        <w:t>10008</w:t>
      </w:r>
    </w:p>
    <w:p w14:paraId="6AB523F9" w14:textId="77777777" w:rsidR="00F20C3E" w:rsidRDefault="00F20C3E" w:rsidP="00F20C3E">
      <w:r>
        <w:t>3</w:t>
      </w:r>
      <w:r>
        <w:tab/>
        <w:t>(Varices or Varix).ti,ab,kf.</w:t>
      </w:r>
      <w:r>
        <w:tab/>
        <w:t>18276</w:t>
      </w:r>
    </w:p>
    <w:p w14:paraId="4232014A" w14:textId="77777777" w:rsidR="00F20C3E" w:rsidRDefault="00F20C3E" w:rsidP="00F20C3E">
      <w:r>
        <w:t>4</w:t>
      </w:r>
      <w:r>
        <w:tab/>
        <w:t>or/1-3</w:t>
      </w:r>
      <w:r>
        <w:tab/>
        <w:t>37288</w:t>
      </w:r>
    </w:p>
    <w:p w14:paraId="13685B10" w14:textId="77777777" w:rsidR="00F20C3E" w:rsidRDefault="00F20C3E" w:rsidP="00F20C3E">
      <w:r>
        <w:t>5</w:t>
      </w:r>
      <w:r>
        <w:tab/>
        <w:t>exp surgery/</w:t>
      </w:r>
      <w:r>
        <w:tab/>
        <w:t>41464</w:t>
      </w:r>
    </w:p>
    <w:p w14:paraId="257A2CDC" w14:textId="77777777" w:rsidR="00F20C3E" w:rsidRDefault="00F20C3E" w:rsidP="00F20C3E">
      <w:r>
        <w:t>6</w:t>
      </w:r>
      <w:r>
        <w:tab/>
        <w:t>exp surgical procedures, operative/</w:t>
      </w:r>
      <w:r>
        <w:tab/>
        <w:t>3729533</w:t>
      </w:r>
    </w:p>
    <w:p w14:paraId="5B17C8AA" w14:textId="77777777" w:rsidR="00F20C3E" w:rsidRDefault="00F20C3E" w:rsidP="00F20C3E">
      <w:r>
        <w:t>7</w:t>
      </w:r>
      <w:r>
        <w:tab/>
        <w:t>exp Vascular Surgical Procedures/</w:t>
      </w:r>
      <w:r>
        <w:tab/>
        <w:t>309461</w:t>
      </w:r>
    </w:p>
    <w:p w14:paraId="3A7A0C4E" w14:textId="77777777" w:rsidR="00F20C3E" w:rsidRDefault="00F20C3E" w:rsidP="00F20C3E">
      <w:r>
        <w:t>8</w:t>
      </w:r>
      <w:r>
        <w:tab/>
        <w:t>(((surgical or operative*) adj2 procedure*) or (operation* or surgery or dissect*)).ti,ab,kf.</w:t>
      </w:r>
      <w:r>
        <w:tab/>
        <w:t>2383672</w:t>
      </w:r>
    </w:p>
    <w:p w14:paraId="7736F169" w14:textId="77777777" w:rsidR="00F20C3E" w:rsidRDefault="00F20C3E" w:rsidP="00F20C3E">
      <w:r>
        <w:t>9</w:t>
      </w:r>
      <w:r>
        <w:tab/>
        <w:t>or/5-8</w:t>
      </w:r>
      <w:r>
        <w:tab/>
        <w:t>5038491</w:t>
      </w:r>
    </w:p>
    <w:p w14:paraId="11D84AA0" w14:textId="77777777" w:rsidR="00F20C3E" w:rsidRDefault="00F20C3E" w:rsidP="00F20C3E">
      <w:r>
        <w:t>10</w:t>
      </w:r>
      <w:r>
        <w:tab/>
        <w:t>4 and 9</w:t>
      </w:r>
      <w:r>
        <w:tab/>
        <w:t>15403</w:t>
      </w:r>
    </w:p>
    <w:p w14:paraId="31B38ACE" w14:textId="77777777" w:rsidR="00F20C3E" w:rsidRDefault="00F20C3E" w:rsidP="00F20C3E">
      <w:r>
        <w:t>11</w:t>
      </w:r>
      <w:r>
        <w:tab/>
        <w:t>exp Critical Pathways/</w:t>
      </w:r>
      <w:r>
        <w:tab/>
        <w:t>8318</w:t>
      </w:r>
    </w:p>
    <w:p w14:paraId="4FE0E0E5" w14:textId="77777777" w:rsidR="00F20C3E" w:rsidRDefault="00F20C3E" w:rsidP="00F20C3E">
      <w:r>
        <w:t>12</w:t>
      </w:r>
      <w:r>
        <w:tab/>
        <w:t>exp Clinical Protocols/</w:t>
      </w:r>
      <w:r>
        <w:tab/>
        <w:t>201168</w:t>
      </w:r>
    </w:p>
    <w:p w14:paraId="012085CA" w14:textId="77777777" w:rsidR="00F20C3E" w:rsidRDefault="00F20C3E" w:rsidP="00F20C3E">
      <w:r>
        <w:t>13</w:t>
      </w:r>
      <w:r>
        <w:tab/>
        <w:t>exp Consensus Development Conference/ or exp Consensus/ or exp Consensus Development Conferences as Topic/</w:t>
      </w:r>
      <w:r>
        <w:tab/>
        <w:t>40043</w:t>
      </w:r>
    </w:p>
    <w:p w14:paraId="57B94CA1" w14:textId="77777777" w:rsidR="00F20C3E" w:rsidRDefault="00F20C3E" w:rsidP="00F20C3E">
      <w:r>
        <w:t>14</w:t>
      </w:r>
      <w:r>
        <w:tab/>
        <w:t>exp Guideline/</w:t>
      </w:r>
      <w:r>
        <w:tab/>
        <w:t>41228</w:t>
      </w:r>
    </w:p>
    <w:p w14:paraId="7ABDA9CE" w14:textId="77777777" w:rsidR="00F20C3E" w:rsidRDefault="00F20C3E" w:rsidP="00F20C3E">
      <w:r>
        <w:t>15</w:t>
      </w:r>
      <w:r>
        <w:tab/>
        <w:t>guidelines as topic/</w:t>
      </w:r>
      <w:r>
        <w:tab/>
        <w:t>42624</w:t>
      </w:r>
    </w:p>
    <w:p w14:paraId="59285007" w14:textId="77777777" w:rsidR="00F20C3E" w:rsidRDefault="00F20C3E" w:rsidP="00F20C3E">
      <w:r>
        <w:t>16</w:t>
      </w:r>
      <w:r>
        <w:tab/>
        <w:t>exp practice guideline/</w:t>
      </w:r>
      <w:r>
        <w:tab/>
        <w:t>34161</w:t>
      </w:r>
    </w:p>
    <w:p w14:paraId="7A92F0AF" w14:textId="77777777" w:rsidR="00F20C3E" w:rsidRDefault="00F20C3E" w:rsidP="00F20C3E">
      <w:r>
        <w:t>17</w:t>
      </w:r>
      <w:r>
        <w:tab/>
        <w:t>practice guidelines as topic/</w:t>
      </w:r>
      <w:r>
        <w:tab/>
        <w:t>132553</w:t>
      </w:r>
    </w:p>
    <w:p w14:paraId="72286919" w14:textId="77777777" w:rsidR="00F20C3E" w:rsidRDefault="00F20C3E" w:rsidP="00F20C3E">
      <w:r>
        <w:t>18</w:t>
      </w:r>
      <w:r>
        <w:tab/>
        <w:t>health planning guidelines/</w:t>
      </w:r>
      <w:r>
        <w:tab/>
        <w:t>4169</w:t>
      </w:r>
    </w:p>
    <w:p w14:paraId="1354EA48" w14:textId="77777777" w:rsidR="00F20C3E" w:rsidRDefault="00F20C3E" w:rsidP="00F20C3E">
      <w:r>
        <w:t>19</w:t>
      </w:r>
      <w:r>
        <w:tab/>
        <w:t>(guideline or practice guideline or consensus development conference or consensus development conference, NIH).pt.</w:t>
      </w:r>
      <w:r>
        <w:tab/>
        <w:t>51455</w:t>
      </w:r>
    </w:p>
    <w:p w14:paraId="3BAC8BEC" w14:textId="77777777" w:rsidR="00F20C3E" w:rsidRDefault="00F20C3E" w:rsidP="00F20C3E">
      <w:r>
        <w:t>20</w:t>
      </w:r>
      <w:r>
        <w:tab/>
        <w:t>(position statement* or policy statement* or practice parameter* or best practice*).ti,ab,kf,kw.</w:t>
      </w:r>
      <w:r>
        <w:tab/>
        <w:t>55494</w:t>
      </w:r>
    </w:p>
    <w:p w14:paraId="6580A650" w14:textId="77777777" w:rsidR="00F20C3E" w:rsidRDefault="00F20C3E" w:rsidP="00F20C3E">
      <w:r>
        <w:t>21</w:t>
      </w:r>
      <w:r>
        <w:tab/>
        <w:t>(standard* or guideline*).ti,kf,kw.</w:t>
      </w:r>
      <w:r>
        <w:tab/>
        <w:t>257302</w:t>
      </w:r>
    </w:p>
    <w:p w14:paraId="13793324" w14:textId="77777777" w:rsidR="00F20C3E" w:rsidRDefault="00F20C3E" w:rsidP="00F20C3E">
      <w:r>
        <w:t>22</w:t>
      </w:r>
      <w:r>
        <w:tab/>
        <w:t>((practice or treatment* or clinical) adj guideline*).ab.</w:t>
      </w:r>
      <w:r>
        <w:tab/>
        <w:t>62395</w:t>
      </w:r>
    </w:p>
    <w:p w14:paraId="2BABAB05" w14:textId="77777777" w:rsidR="00F20C3E" w:rsidRDefault="00F20C3E" w:rsidP="00F20C3E">
      <w:r>
        <w:t>23</w:t>
      </w:r>
      <w:r>
        <w:tab/>
        <w:t>(CPG or CPGs).ti.</w:t>
      </w:r>
      <w:r>
        <w:tab/>
        <w:t>6793</w:t>
      </w:r>
    </w:p>
    <w:p w14:paraId="73CCA878" w14:textId="77777777" w:rsidR="00F20C3E" w:rsidRDefault="00F20C3E" w:rsidP="00F20C3E">
      <w:r>
        <w:t>24</w:t>
      </w:r>
      <w:r>
        <w:tab/>
        <w:t>consensus*.ti,kf,kw.</w:t>
      </w:r>
      <w:r>
        <w:tab/>
        <w:t>41294</w:t>
      </w:r>
    </w:p>
    <w:p w14:paraId="0D67F2A4" w14:textId="77777777" w:rsidR="00F20C3E" w:rsidRDefault="00F20C3E" w:rsidP="00F20C3E">
      <w:r>
        <w:t>25</w:t>
      </w:r>
      <w:r>
        <w:tab/>
        <w:t>consensus*.ab. /freq=2</w:t>
      </w:r>
      <w:r>
        <w:tab/>
        <w:t>41075</w:t>
      </w:r>
    </w:p>
    <w:p w14:paraId="67D4388B" w14:textId="77777777" w:rsidR="00F20C3E" w:rsidRDefault="00F20C3E" w:rsidP="00F20C3E">
      <w:r>
        <w:t>26</w:t>
      </w:r>
      <w:r>
        <w:tab/>
        <w:t>((critical or clinical or practice) adj2 (path or paths or pathway or pathways or protocol*)).ti,ab,kf,kw.</w:t>
      </w:r>
      <w:r>
        <w:tab/>
        <w:t>31859</w:t>
      </w:r>
    </w:p>
    <w:p w14:paraId="538A2AD3" w14:textId="77777777" w:rsidR="00F20C3E" w:rsidRDefault="00F20C3E" w:rsidP="00F20C3E">
      <w:r>
        <w:t>27</w:t>
      </w:r>
      <w:r>
        <w:tab/>
        <w:t>recommendat*.ti,kf,kw.</w:t>
      </w:r>
      <w:r>
        <w:tab/>
        <w:t>61538</w:t>
      </w:r>
    </w:p>
    <w:p w14:paraId="7699C3EE" w14:textId="77777777" w:rsidR="00F20C3E" w:rsidRDefault="00F20C3E" w:rsidP="00F20C3E">
      <w:r>
        <w:t>28</w:t>
      </w:r>
      <w:r>
        <w:tab/>
        <w:t>(care adj2 (standard or path or paths or pathway or pathways or map or maps or plan or plans)).ti,ab,kf,kw.</w:t>
      </w:r>
      <w:r>
        <w:tab/>
        <w:t>101571</w:t>
      </w:r>
    </w:p>
    <w:p w14:paraId="03FE7527" w14:textId="77777777" w:rsidR="00F20C3E" w:rsidRDefault="00F20C3E" w:rsidP="00F20C3E">
      <w:r>
        <w:t>29</w:t>
      </w:r>
      <w:r>
        <w:tab/>
        <w:t>(algorithm* adj2 (screening or examination or test or tested or testing or assessment* or diagnosis or diagnoses or diagnosed or diagnosing)).ti,ab,kf,kw.</w:t>
      </w:r>
      <w:r>
        <w:tab/>
        <w:t>12031</w:t>
      </w:r>
    </w:p>
    <w:p w14:paraId="53E11E07" w14:textId="77777777" w:rsidR="00F20C3E" w:rsidRDefault="00F20C3E" w:rsidP="00F20C3E">
      <w:r>
        <w:t>30</w:t>
      </w:r>
      <w:r>
        <w:tab/>
        <w:t>(algorithm* adj2 (pharmacotherap* or chemotherap* or chemotreatment* or therap* or treatment* or intervention*)).ti,ab,kf,kw.</w:t>
      </w:r>
      <w:r>
        <w:tab/>
        <w:t>14857</w:t>
      </w:r>
    </w:p>
    <w:p w14:paraId="7E49C99B" w14:textId="77777777" w:rsidR="00F20C3E" w:rsidRDefault="00F20C3E" w:rsidP="00F20C3E">
      <w:r>
        <w:t>31</w:t>
      </w:r>
      <w:r>
        <w:tab/>
        <w:t>or/11-30</w:t>
      </w:r>
      <w:r>
        <w:tab/>
        <w:t>921399</w:t>
      </w:r>
    </w:p>
    <w:p w14:paraId="6FC8420E" w14:textId="77777777" w:rsidR="00F20C3E" w:rsidRDefault="00F20C3E" w:rsidP="00F20C3E">
      <w:r>
        <w:t>32</w:t>
      </w:r>
      <w:r>
        <w:tab/>
        <w:t>10 and 31</w:t>
      </w:r>
      <w:r>
        <w:tab/>
        <w:t>434</w:t>
      </w:r>
    </w:p>
    <w:p w14:paraId="709B11F0" w14:textId="77777777" w:rsidR="00F20C3E" w:rsidRDefault="00F20C3E" w:rsidP="00F20C3E">
      <w:r>
        <w:t>33</w:t>
      </w:r>
      <w:r>
        <w:tab/>
        <w:t>limit 32 to (english language and yr="2015 -Current")</w:t>
      </w:r>
      <w:r>
        <w:tab/>
        <w:t>190</w:t>
      </w:r>
    </w:p>
    <w:p w14:paraId="080C11F6" w14:textId="77777777" w:rsidR="00F20C3E" w:rsidRDefault="00F20C3E" w:rsidP="00F20C3E"/>
    <w:p w14:paraId="5219C1E3" w14:textId="77777777" w:rsidR="00F20C3E" w:rsidRDefault="00F20C3E" w:rsidP="00F20C3E"/>
    <w:p w14:paraId="4FA7A21E" w14:textId="57505F2A" w:rsidR="00F20C3E" w:rsidRDefault="00F20C3E" w:rsidP="00F20C3E">
      <w:r>
        <w:t>Embase</w:t>
      </w:r>
    </w:p>
    <w:p w14:paraId="2EBB6E76" w14:textId="321D74A1" w:rsidR="00F20C3E" w:rsidRDefault="00F20C3E" w:rsidP="00F20C3E">
      <w:r>
        <w:t>Embase &lt;1974 to 2025 May 15&gt;</w:t>
      </w:r>
    </w:p>
    <w:p w14:paraId="67898273" w14:textId="77777777" w:rsidR="00F20C3E" w:rsidRDefault="00F20C3E" w:rsidP="00F20C3E">
      <w:r>
        <w:t>1</w:t>
      </w:r>
      <w:r>
        <w:tab/>
        <w:t>varicosis/ or leg varicosis/</w:t>
      </w:r>
      <w:r>
        <w:tab/>
        <w:t>28704</w:t>
      </w:r>
    </w:p>
    <w:p w14:paraId="215E70F6" w14:textId="77777777" w:rsidR="00F20C3E" w:rsidRDefault="00F20C3E" w:rsidP="00F20C3E">
      <w:r>
        <w:t>2</w:t>
      </w:r>
      <w:r>
        <w:tab/>
        <w:t>(varicos* adj2 vein*).ti,ab,kf.</w:t>
      </w:r>
      <w:r>
        <w:tab/>
        <w:t>11783</w:t>
      </w:r>
    </w:p>
    <w:p w14:paraId="3F205885" w14:textId="77777777" w:rsidR="00F20C3E" w:rsidRDefault="00F20C3E" w:rsidP="00F20C3E">
      <w:r>
        <w:t>3</w:t>
      </w:r>
      <w:r>
        <w:tab/>
        <w:t>(Varices or Varix).ti,ab,kf.</w:t>
      </w:r>
      <w:r>
        <w:tab/>
        <w:t>28553</w:t>
      </w:r>
    </w:p>
    <w:p w14:paraId="56F0C746" w14:textId="77777777" w:rsidR="00F20C3E" w:rsidRDefault="00F20C3E" w:rsidP="00F20C3E">
      <w:r>
        <w:t>4</w:t>
      </w:r>
      <w:r>
        <w:tab/>
        <w:t>or/1-3</w:t>
      </w:r>
      <w:r>
        <w:tab/>
        <w:t>51069</w:t>
      </w:r>
    </w:p>
    <w:p w14:paraId="6E19A3EA" w14:textId="77777777" w:rsidR="00F20C3E" w:rsidRDefault="00F20C3E" w:rsidP="00F20C3E">
      <w:r>
        <w:t>5</w:t>
      </w:r>
      <w:r>
        <w:tab/>
        <w:t>exp *surgery/</w:t>
      </w:r>
      <w:r>
        <w:tab/>
        <w:t>3097746</w:t>
      </w:r>
    </w:p>
    <w:p w14:paraId="68B23FE4" w14:textId="77777777" w:rsidR="00F20C3E" w:rsidRDefault="00F20C3E" w:rsidP="00F20C3E">
      <w:r>
        <w:t>6</w:t>
      </w:r>
      <w:r>
        <w:tab/>
        <w:t>exp *vascular surgery/</w:t>
      </w:r>
      <w:r>
        <w:tab/>
        <w:t>287320</w:t>
      </w:r>
    </w:p>
    <w:p w14:paraId="1949FFA6" w14:textId="77777777" w:rsidR="00F20C3E" w:rsidRDefault="00F20C3E" w:rsidP="00F20C3E">
      <w:r>
        <w:t>7</w:t>
      </w:r>
      <w:r>
        <w:tab/>
        <w:t>(((surgical or operative*) adj2 procedure*) or (operation* or surgery or dissect*)).ti,ab,kf.</w:t>
      </w:r>
      <w:r>
        <w:tab/>
        <w:t>3159181</w:t>
      </w:r>
    </w:p>
    <w:p w14:paraId="46E13369" w14:textId="77777777" w:rsidR="00F20C3E" w:rsidRDefault="00F20C3E" w:rsidP="00F20C3E">
      <w:r>
        <w:t>8</w:t>
      </w:r>
      <w:r>
        <w:tab/>
        <w:t>or/5-7</w:t>
      </w:r>
      <w:r>
        <w:tab/>
        <w:t>4994862</w:t>
      </w:r>
    </w:p>
    <w:p w14:paraId="487E0E26" w14:textId="77777777" w:rsidR="00F20C3E" w:rsidRDefault="00F20C3E" w:rsidP="00F20C3E">
      <w:r>
        <w:t>9</w:t>
      </w:r>
      <w:r>
        <w:tab/>
        <w:t>4 and 8</w:t>
      </w:r>
      <w:r>
        <w:tab/>
        <w:t>16112</w:t>
      </w:r>
    </w:p>
    <w:p w14:paraId="26F19AD4" w14:textId="77777777" w:rsidR="00F20C3E" w:rsidRDefault="00F20C3E" w:rsidP="00F20C3E">
      <w:r>
        <w:t>10</w:t>
      </w:r>
      <w:r>
        <w:tab/>
        <w:t>*practice guideline/ or best practice/ or clinical pathway/ or medical guideline/ or standard operating procedure/</w:t>
      </w:r>
      <w:r>
        <w:tab/>
        <w:t>121695</w:t>
      </w:r>
    </w:p>
    <w:p w14:paraId="1DCD7462" w14:textId="77777777" w:rsidR="00F20C3E" w:rsidRDefault="00F20C3E" w:rsidP="00F20C3E">
      <w:r>
        <w:t>11</w:t>
      </w:r>
      <w:r>
        <w:tab/>
        <w:t>(position statement* or policy statement* or practice parameter* or best practice*).ti,ab,kf,kw.</w:t>
      </w:r>
      <w:r>
        <w:tab/>
        <w:t>78789</w:t>
      </w:r>
    </w:p>
    <w:p w14:paraId="6DF6A45F" w14:textId="77777777" w:rsidR="00F20C3E" w:rsidRDefault="00F20C3E" w:rsidP="00F20C3E">
      <w:r>
        <w:t>12</w:t>
      </w:r>
      <w:r>
        <w:tab/>
        <w:t>(standard* or guideline*).ti,kf,kw.</w:t>
      </w:r>
      <w:r>
        <w:tab/>
        <w:t>345166</w:t>
      </w:r>
    </w:p>
    <w:p w14:paraId="2A0CC95F" w14:textId="77777777" w:rsidR="00F20C3E" w:rsidRDefault="00F20C3E" w:rsidP="00F20C3E">
      <w:r>
        <w:t>13</w:t>
      </w:r>
      <w:r>
        <w:tab/>
        <w:t>((practice or treatment* or clinical) adj guideline*).ab.</w:t>
      </w:r>
      <w:r>
        <w:tab/>
        <w:t>94809</w:t>
      </w:r>
    </w:p>
    <w:p w14:paraId="47961AE7" w14:textId="77777777" w:rsidR="00F20C3E" w:rsidRDefault="00F20C3E" w:rsidP="00F20C3E">
      <w:r>
        <w:t>14</w:t>
      </w:r>
      <w:r>
        <w:tab/>
        <w:t>(CPG or CPGs).ti.</w:t>
      </w:r>
      <w:r>
        <w:tab/>
        <w:t>8175</w:t>
      </w:r>
    </w:p>
    <w:p w14:paraId="6492DE24" w14:textId="77777777" w:rsidR="00F20C3E" w:rsidRDefault="00F20C3E" w:rsidP="00F20C3E">
      <w:r>
        <w:t>15</w:t>
      </w:r>
      <w:r>
        <w:tab/>
        <w:t>or/10-14</w:t>
      </w:r>
      <w:r>
        <w:tab/>
        <w:t>537588</w:t>
      </w:r>
    </w:p>
    <w:p w14:paraId="7160FD31" w14:textId="77777777" w:rsidR="00F20C3E" w:rsidRDefault="00F20C3E" w:rsidP="00F20C3E">
      <w:r>
        <w:t>16</w:t>
      </w:r>
      <w:r>
        <w:tab/>
        <w:t>9 and 15</w:t>
      </w:r>
      <w:r>
        <w:tab/>
        <w:t>256</w:t>
      </w:r>
    </w:p>
    <w:p w14:paraId="7B316890" w14:textId="30DE3325" w:rsidR="00F20C3E" w:rsidRPr="00F20C3E" w:rsidRDefault="00F20C3E" w:rsidP="00F20C3E">
      <w:r>
        <w:t>17</w:t>
      </w:r>
      <w:r>
        <w:tab/>
        <w:t>limit 16 to (english language and yr="2015 -Current")</w:t>
      </w:r>
      <w:r>
        <w:tab/>
        <w:t>141</w:t>
      </w:r>
    </w:p>
    <w:sectPr w:rsidR="00F20C3E" w:rsidRPr="00F20C3E" w:rsidSect="001F1C68">
      <w:footerReference w:type="default" r:id="rId26"/>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09B0" w14:textId="77777777" w:rsidR="00FD1E49" w:rsidRDefault="00FD1E49" w:rsidP="00B15943">
      <w:r>
        <w:separator/>
      </w:r>
    </w:p>
  </w:endnote>
  <w:endnote w:type="continuationSeparator" w:id="0">
    <w:p w14:paraId="584431ED" w14:textId="77777777" w:rsidR="00FD1E49" w:rsidRDefault="00FD1E49" w:rsidP="00B15943">
      <w:r>
        <w:continuationSeparator/>
      </w:r>
    </w:p>
  </w:endnote>
  <w:endnote w:type="continuationNotice" w:id="1">
    <w:p w14:paraId="5F535ED5" w14:textId="77777777" w:rsidR="00FD1E49" w:rsidRDefault="00FD1E49"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264CC0"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49F1" w14:textId="77777777" w:rsidR="00FD1E49" w:rsidRDefault="00FD1E49" w:rsidP="00B15943">
      <w:r>
        <w:separator/>
      </w:r>
    </w:p>
  </w:footnote>
  <w:footnote w:type="continuationSeparator" w:id="0">
    <w:p w14:paraId="587109C3" w14:textId="77777777" w:rsidR="00FD1E49" w:rsidRDefault="00FD1E49" w:rsidP="00B15943">
      <w:r>
        <w:continuationSeparator/>
      </w:r>
    </w:p>
  </w:footnote>
  <w:footnote w:type="continuationNotice" w:id="1">
    <w:p w14:paraId="530AA52F" w14:textId="77777777" w:rsidR="00FD1E49" w:rsidRDefault="00FD1E49"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499"/>
    <w:multiLevelType w:val="hybridMultilevel"/>
    <w:tmpl w:val="CD1C2B54"/>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659B6"/>
    <w:multiLevelType w:val="hybridMultilevel"/>
    <w:tmpl w:val="A5A64412"/>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D605B"/>
    <w:multiLevelType w:val="hybridMultilevel"/>
    <w:tmpl w:val="90D01DAE"/>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F19A0"/>
    <w:multiLevelType w:val="hybridMultilevel"/>
    <w:tmpl w:val="64963AF6"/>
    <w:lvl w:ilvl="0" w:tplc="4D7ABB6C">
      <w:start w:val="1"/>
      <w:numFmt w:val="bullet"/>
      <w:lvlText w:val=""/>
      <w:lvlJc w:val="left"/>
      <w:pPr>
        <w:ind w:left="720" w:hanging="360"/>
      </w:pPr>
      <w:rPr>
        <w:rFonts w:ascii="Symbol" w:hAnsi="Symbol"/>
      </w:rPr>
    </w:lvl>
    <w:lvl w:ilvl="1" w:tplc="8EB8C75E">
      <w:start w:val="1"/>
      <w:numFmt w:val="bullet"/>
      <w:lvlText w:val=""/>
      <w:lvlJc w:val="left"/>
      <w:pPr>
        <w:ind w:left="720" w:hanging="360"/>
      </w:pPr>
      <w:rPr>
        <w:rFonts w:ascii="Symbol" w:hAnsi="Symbol"/>
      </w:rPr>
    </w:lvl>
    <w:lvl w:ilvl="2" w:tplc="EF86AB98">
      <w:start w:val="1"/>
      <w:numFmt w:val="bullet"/>
      <w:lvlText w:val=""/>
      <w:lvlJc w:val="left"/>
      <w:pPr>
        <w:ind w:left="720" w:hanging="360"/>
      </w:pPr>
      <w:rPr>
        <w:rFonts w:ascii="Symbol" w:hAnsi="Symbol"/>
      </w:rPr>
    </w:lvl>
    <w:lvl w:ilvl="3" w:tplc="87D8C9F6">
      <w:start w:val="1"/>
      <w:numFmt w:val="bullet"/>
      <w:lvlText w:val=""/>
      <w:lvlJc w:val="left"/>
      <w:pPr>
        <w:ind w:left="720" w:hanging="360"/>
      </w:pPr>
      <w:rPr>
        <w:rFonts w:ascii="Symbol" w:hAnsi="Symbol"/>
      </w:rPr>
    </w:lvl>
    <w:lvl w:ilvl="4" w:tplc="7B18DF22">
      <w:start w:val="1"/>
      <w:numFmt w:val="bullet"/>
      <w:lvlText w:val=""/>
      <w:lvlJc w:val="left"/>
      <w:pPr>
        <w:ind w:left="720" w:hanging="360"/>
      </w:pPr>
      <w:rPr>
        <w:rFonts w:ascii="Symbol" w:hAnsi="Symbol"/>
      </w:rPr>
    </w:lvl>
    <w:lvl w:ilvl="5" w:tplc="D48A5E7A">
      <w:start w:val="1"/>
      <w:numFmt w:val="bullet"/>
      <w:lvlText w:val=""/>
      <w:lvlJc w:val="left"/>
      <w:pPr>
        <w:ind w:left="720" w:hanging="360"/>
      </w:pPr>
      <w:rPr>
        <w:rFonts w:ascii="Symbol" w:hAnsi="Symbol"/>
      </w:rPr>
    </w:lvl>
    <w:lvl w:ilvl="6" w:tplc="C9125526">
      <w:start w:val="1"/>
      <w:numFmt w:val="bullet"/>
      <w:lvlText w:val=""/>
      <w:lvlJc w:val="left"/>
      <w:pPr>
        <w:ind w:left="720" w:hanging="360"/>
      </w:pPr>
      <w:rPr>
        <w:rFonts w:ascii="Symbol" w:hAnsi="Symbol"/>
      </w:rPr>
    </w:lvl>
    <w:lvl w:ilvl="7" w:tplc="039E3A2E">
      <w:start w:val="1"/>
      <w:numFmt w:val="bullet"/>
      <w:lvlText w:val=""/>
      <w:lvlJc w:val="left"/>
      <w:pPr>
        <w:ind w:left="720" w:hanging="360"/>
      </w:pPr>
      <w:rPr>
        <w:rFonts w:ascii="Symbol" w:hAnsi="Symbol"/>
      </w:rPr>
    </w:lvl>
    <w:lvl w:ilvl="8" w:tplc="88E8AB82">
      <w:start w:val="1"/>
      <w:numFmt w:val="bullet"/>
      <w:lvlText w:val=""/>
      <w:lvlJc w:val="left"/>
      <w:pPr>
        <w:ind w:left="720" w:hanging="360"/>
      </w:pPr>
      <w:rPr>
        <w:rFonts w:ascii="Symbol" w:hAnsi="Symbol"/>
      </w:rPr>
    </w:lvl>
  </w:abstractNum>
  <w:abstractNum w:abstractNumId="4" w15:restartNumberingAfterBreak="0">
    <w:nsid w:val="1DBE3987"/>
    <w:multiLevelType w:val="multilevel"/>
    <w:tmpl w:val="4B88234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2EE3852"/>
    <w:multiLevelType w:val="hybridMultilevel"/>
    <w:tmpl w:val="E1E47900"/>
    <w:lvl w:ilvl="0" w:tplc="6F32396E">
      <w:start w:val="1"/>
      <w:numFmt w:val="bullet"/>
      <w:lvlText w:val=""/>
      <w:lvlJc w:val="left"/>
      <w:pPr>
        <w:ind w:left="1080" w:hanging="360"/>
      </w:pPr>
      <w:rPr>
        <w:rFonts w:ascii="Symbol" w:hAnsi="Symbol"/>
      </w:rPr>
    </w:lvl>
    <w:lvl w:ilvl="1" w:tplc="9D76593A">
      <w:start w:val="1"/>
      <w:numFmt w:val="bullet"/>
      <w:lvlText w:val=""/>
      <w:lvlJc w:val="left"/>
      <w:pPr>
        <w:ind w:left="1080" w:hanging="360"/>
      </w:pPr>
      <w:rPr>
        <w:rFonts w:ascii="Symbol" w:hAnsi="Symbol"/>
      </w:rPr>
    </w:lvl>
    <w:lvl w:ilvl="2" w:tplc="7CF68650">
      <w:start w:val="1"/>
      <w:numFmt w:val="bullet"/>
      <w:lvlText w:val=""/>
      <w:lvlJc w:val="left"/>
      <w:pPr>
        <w:ind w:left="1080" w:hanging="360"/>
      </w:pPr>
      <w:rPr>
        <w:rFonts w:ascii="Symbol" w:hAnsi="Symbol"/>
      </w:rPr>
    </w:lvl>
    <w:lvl w:ilvl="3" w:tplc="37180762">
      <w:start w:val="1"/>
      <w:numFmt w:val="bullet"/>
      <w:lvlText w:val=""/>
      <w:lvlJc w:val="left"/>
      <w:pPr>
        <w:ind w:left="1080" w:hanging="360"/>
      </w:pPr>
      <w:rPr>
        <w:rFonts w:ascii="Symbol" w:hAnsi="Symbol"/>
      </w:rPr>
    </w:lvl>
    <w:lvl w:ilvl="4" w:tplc="844CEA10">
      <w:start w:val="1"/>
      <w:numFmt w:val="bullet"/>
      <w:lvlText w:val=""/>
      <w:lvlJc w:val="left"/>
      <w:pPr>
        <w:ind w:left="1080" w:hanging="360"/>
      </w:pPr>
      <w:rPr>
        <w:rFonts w:ascii="Symbol" w:hAnsi="Symbol"/>
      </w:rPr>
    </w:lvl>
    <w:lvl w:ilvl="5" w:tplc="2354967C">
      <w:start w:val="1"/>
      <w:numFmt w:val="bullet"/>
      <w:lvlText w:val=""/>
      <w:lvlJc w:val="left"/>
      <w:pPr>
        <w:ind w:left="1080" w:hanging="360"/>
      </w:pPr>
      <w:rPr>
        <w:rFonts w:ascii="Symbol" w:hAnsi="Symbol"/>
      </w:rPr>
    </w:lvl>
    <w:lvl w:ilvl="6" w:tplc="9ED0FA10">
      <w:start w:val="1"/>
      <w:numFmt w:val="bullet"/>
      <w:lvlText w:val=""/>
      <w:lvlJc w:val="left"/>
      <w:pPr>
        <w:ind w:left="1080" w:hanging="360"/>
      </w:pPr>
      <w:rPr>
        <w:rFonts w:ascii="Symbol" w:hAnsi="Symbol"/>
      </w:rPr>
    </w:lvl>
    <w:lvl w:ilvl="7" w:tplc="F92EE2FA">
      <w:start w:val="1"/>
      <w:numFmt w:val="bullet"/>
      <w:lvlText w:val=""/>
      <w:lvlJc w:val="left"/>
      <w:pPr>
        <w:ind w:left="1080" w:hanging="360"/>
      </w:pPr>
      <w:rPr>
        <w:rFonts w:ascii="Symbol" w:hAnsi="Symbol"/>
      </w:rPr>
    </w:lvl>
    <w:lvl w:ilvl="8" w:tplc="4F18C178">
      <w:start w:val="1"/>
      <w:numFmt w:val="bullet"/>
      <w:lvlText w:val=""/>
      <w:lvlJc w:val="left"/>
      <w:pPr>
        <w:ind w:left="1080" w:hanging="360"/>
      </w:pPr>
      <w:rPr>
        <w:rFonts w:ascii="Symbol" w:hAnsi="Symbol"/>
      </w:rPr>
    </w:lvl>
  </w:abstractNum>
  <w:abstractNum w:abstractNumId="6" w15:restartNumberingAfterBreak="0">
    <w:nsid w:val="25D4622B"/>
    <w:multiLevelType w:val="hybridMultilevel"/>
    <w:tmpl w:val="9EA45FB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85D3601"/>
    <w:multiLevelType w:val="hybridMultilevel"/>
    <w:tmpl w:val="2B48EED4"/>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47D0F"/>
    <w:multiLevelType w:val="hybridMultilevel"/>
    <w:tmpl w:val="D97C2282"/>
    <w:lvl w:ilvl="0" w:tplc="57CC8496">
      <w:start w:val="1"/>
      <w:numFmt w:val="bullet"/>
      <w:lvlText w:val=""/>
      <w:lvlJc w:val="left"/>
      <w:pPr>
        <w:ind w:left="1080" w:hanging="360"/>
      </w:pPr>
      <w:rPr>
        <w:rFonts w:ascii="Symbol" w:hAnsi="Symbol"/>
      </w:rPr>
    </w:lvl>
    <w:lvl w:ilvl="1" w:tplc="E37CAB54">
      <w:start w:val="1"/>
      <w:numFmt w:val="bullet"/>
      <w:lvlText w:val=""/>
      <w:lvlJc w:val="left"/>
      <w:pPr>
        <w:ind w:left="1080" w:hanging="360"/>
      </w:pPr>
      <w:rPr>
        <w:rFonts w:ascii="Symbol" w:hAnsi="Symbol"/>
      </w:rPr>
    </w:lvl>
    <w:lvl w:ilvl="2" w:tplc="23F6FBFA">
      <w:start w:val="1"/>
      <w:numFmt w:val="bullet"/>
      <w:lvlText w:val=""/>
      <w:lvlJc w:val="left"/>
      <w:pPr>
        <w:ind w:left="1080" w:hanging="360"/>
      </w:pPr>
      <w:rPr>
        <w:rFonts w:ascii="Symbol" w:hAnsi="Symbol"/>
      </w:rPr>
    </w:lvl>
    <w:lvl w:ilvl="3" w:tplc="31E8213C">
      <w:start w:val="1"/>
      <w:numFmt w:val="bullet"/>
      <w:lvlText w:val=""/>
      <w:lvlJc w:val="left"/>
      <w:pPr>
        <w:ind w:left="1080" w:hanging="360"/>
      </w:pPr>
      <w:rPr>
        <w:rFonts w:ascii="Symbol" w:hAnsi="Symbol"/>
      </w:rPr>
    </w:lvl>
    <w:lvl w:ilvl="4" w:tplc="5A20EE46">
      <w:start w:val="1"/>
      <w:numFmt w:val="bullet"/>
      <w:lvlText w:val=""/>
      <w:lvlJc w:val="left"/>
      <w:pPr>
        <w:ind w:left="1080" w:hanging="360"/>
      </w:pPr>
      <w:rPr>
        <w:rFonts w:ascii="Symbol" w:hAnsi="Symbol"/>
      </w:rPr>
    </w:lvl>
    <w:lvl w:ilvl="5" w:tplc="A3C652E0">
      <w:start w:val="1"/>
      <w:numFmt w:val="bullet"/>
      <w:lvlText w:val=""/>
      <w:lvlJc w:val="left"/>
      <w:pPr>
        <w:ind w:left="1080" w:hanging="360"/>
      </w:pPr>
      <w:rPr>
        <w:rFonts w:ascii="Symbol" w:hAnsi="Symbol"/>
      </w:rPr>
    </w:lvl>
    <w:lvl w:ilvl="6" w:tplc="CDF6D7DE">
      <w:start w:val="1"/>
      <w:numFmt w:val="bullet"/>
      <w:lvlText w:val=""/>
      <w:lvlJc w:val="left"/>
      <w:pPr>
        <w:ind w:left="1080" w:hanging="360"/>
      </w:pPr>
      <w:rPr>
        <w:rFonts w:ascii="Symbol" w:hAnsi="Symbol"/>
      </w:rPr>
    </w:lvl>
    <w:lvl w:ilvl="7" w:tplc="D9B6B15A">
      <w:start w:val="1"/>
      <w:numFmt w:val="bullet"/>
      <w:lvlText w:val=""/>
      <w:lvlJc w:val="left"/>
      <w:pPr>
        <w:ind w:left="1080" w:hanging="360"/>
      </w:pPr>
      <w:rPr>
        <w:rFonts w:ascii="Symbol" w:hAnsi="Symbol"/>
      </w:rPr>
    </w:lvl>
    <w:lvl w:ilvl="8" w:tplc="6A944C90">
      <w:start w:val="1"/>
      <w:numFmt w:val="bullet"/>
      <w:lvlText w:val=""/>
      <w:lvlJc w:val="left"/>
      <w:pPr>
        <w:ind w:left="1080" w:hanging="360"/>
      </w:pPr>
      <w:rPr>
        <w:rFonts w:ascii="Symbol" w:hAnsi="Symbol"/>
      </w:rPr>
    </w:lvl>
  </w:abstractNum>
  <w:abstractNum w:abstractNumId="9" w15:restartNumberingAfterBreak="0">
    <w:nsid w:val="31676DCE"/>
    <w:multiLevelType w:val="hybridMultilevel"/>
    <w:tmpl w:val="89D42948"/>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15A0E"/>
    <w:multiLevelType w:val="hybridMultilevel"/>
    <w:tmpl w:val="349C9BA4"/>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4D7F"/>
    <w:multiLevelType w:val="hybridMultilevel"/>
    <w:tmpl w:val="8028EC76"/>
    <w:lvl w:ilvl="0" w:tplc="33A49B8A">
      <w:start w:val="1"/>
      <w:numFmt w:val="bullet"/>
      <w:lvlText w:val=""/>
      <w:lvlJc w:val="left"/>
      <w:pPr>
        <w:ind w:left="1080" w:hanging="360"/>
      </w:pPr>
      <w:rPr>
        <w:rFonts w:ascii="Symbol" w:hAnsi="Symbol"/>
      </w:rPr>
    </w:lvl>
    <w:lvl w:ilvl="1" w:tplc="73E80808">
      <w:start w:val="1"/>
      <w:numFmt w:val="bullet"/>
      <w:lvlText w:val=""/>
      <w:lvlJc w:val="left"/>
      <w:pPr>
        <w:ind w:left="1080" w:hanging="360"/>
      </w:pPr>
      <w:rPr>
        <w:rFonts w:ascii="Symbol" w:hAnsi="Symbol"/>
      </w:rPr>
    </w:lvl>
    <w:lvl w:ilvl="2" w:tplc="5964E736">
      <w:start w:val="1"/>
      <w:numFmt w:val="bullet"/>
      <w:lvlText w:val=""/>
      <w:lvlJc w:val="left"/>
      <w:pPr>
        <w:ind w:left="1080" w:hanging="360"/>
      </w:pPr>
      <w:rPr>
        <w:rFonts w:ascii="Symbol" w:hAnsi="Symbol"/>
      </w:rPr>
    </w:lvl>
    <w:lvl w:ilvl="3" w:tplc="8C5ACA8C">
      <w:start w:val="1"/>
      <w:numFmt w:val="bullet"/>
      <w:lvlText w:val=""/>
      <w:lvlJc w:val="left"/>
      <w:pPr>
        <w:ind w:left="1080" w:hanging="360"/>
      </w:pPr>
      <w:rPr>
        <w:rFonts w:ascii="Symbol" w:hAnsi="Symbol"/>
      </w:rPr>
    </w:lvl>
    <w:lvl w:ilvl="4" w:tplc="D53AA4FE">
      <w:start w:val="1"/>
      <w:numFmt w:val="bullet"/>
      <w:lvlText w:val=""/>
      <w:lvlJc w:val="left"/>
      <w:pPr>
        <w:ind w:left="1080" w:hanging="360"/>
      </w:pPr>
      <w:rPr>
        <w:rFonts w:ascii="Symbol" w:hAnsi="Symbol"/>
      </w:rPr>
    </w:lvl>
    <w:lvl w:ilvl="5" w:tplc="147C5C44">
      <w:start w:val="1"/>
      <w:numFmt w:val="bullet"/>
      <w:lvlText w:val=""/>
      <w:lvlJc w:val="left"/>
      <w:pPr>
        <w:ind w:left="1080" w:hanging="360"/>
      </w:pPr>
      <w:rPr>
        <w:rFonts w:ascii="Symbol" w:hAnsi="Symbol"/>
      </w:rPr>
    </w:lvl>
    <w:lvl w:ilvl="6" w:tplc="102A98EA">
      <w:start w:val="1"/>
      <w:numFmt w:val="bullet"/>
      <w:lvlText w:val=""/>
      <w:lvlJc w:val="left"/>
      <w:pPr>
        <w:ind w:left="1080" w:hanging="360"/>
      </w:pPr>
      <w:rPr>
        <w:rFonts w:ascii="Symbol" w:hAnsi="Symbol"/>
      </w:rPr>
    </w:lvl>
    <w:lvl w:ilvl="7" w:tplc="B1D0EE6A">
      <w:start w:val="1"/>
      <w:numFmt w:val="bullet"/>
      <w:lvlText w:val=""/>
      <w:lvlJc w:val="left"/>
      <w:pPr>
        <w:ind w:left="1080" w:hanging="360"/>
      </w:pPr>
      <w:rPr>
        <w:rFonts w:ascii="Symbol" w:hAnsi="Symbol"/>
      </w:rPr>
    </w:lvl>
    <w:lvl w:ilvl="8" w:tplc="1C149F66">
      <w:start w:val="1"/>
      <w:numFmt w:val="bullet"/>
      <w:lvlText w:val=""/>
      <w:lvlJc w:val="left"/>
      <w:pPr>
        <w:ind w:left="1080" w:hanging="360"/>
      </w:pPr>
      <w:rPr>
        <w:rFonts w:ascii="Symbol" w:hAnsi="Symbol"/>
      </w:rPr>
    </w:lvl>
  </w:abstractNum>
  <w:abstractNum w:abstractNumId="12" w15:restartNumberingAfterBreak="0">
    <w:nsid w:val="3BEA3770"/>
    <w:multiLevelType w:val="hybridMultilevel"/>
    <w:tmpl w:val="E62841BE"/>
    <w:lvl w:ilvl="0" w:tplc="86BC6E4C">
      <w:start w:val="1"/>
      <w:numFmt w:val="decimal"/>
      <w:lvlText w:val="%1)"/>
      <w:lvlJc w:val="left"/>
      <w:pPr>
        <w:ind w:left="1080" w:hanging="360"/>
      </w:pPr>
    </w:lvl>
    <w:lvl w:ilvl="1" w:tplc="A072A6C6">
      <w:start w:val="1"/>
      <w:numFmt w:val="decimal"/>
      <w:lvlText w:val="%2)"/>
      <w:lvlJc w:val="left"/>
      <w:pPr>
        <w:ind w:left="1440" w:hanging="360"/>
      </w:pPr>
    </w:lvl>
    <w:lvl w:ilvl="2" w:tplc="F3AE1D8A">
      <w:start w:val="1"/>
      <w:numFmt w:val="decimal"/>
      <w:lvlText w:val="%3)"/>
      <w:lvlJc w:val="left"/>
      <w:pPr>
        <w:ind w:left="1080" w:hanging="360"/>
      </w:pPr>
    </w:lvl>
    <w:lvl w:ilvl="3" w:tplc="9C8C31D2">
      <w:start w:val="1"/>
      <w:numFmt w:val="decimal"/>
      <w:lvlText w:val="%4)"/>
      <w:lvlJc w:val="left"/>
      <w:pPr>
        <w:ind w:left="1080" w:hanging="360"/>
      </w:pPr>
    </w:lvl>
    <w:lvl w:ilvl="4" w:tplc="A798F3AC">
      <w:start w:val="1"/>
      <w:numFmt w:val="decimal"/>
      <w:lvlText w:val="%5)"/>
      <w:lvlJc w:val="left"/>
      <w:pPr>
        <w:ind w:left="1080" w:hanging="360"/>
      </w:pPr>
    </w:lvl>
    <w:lvl w:ilvl="5" w:tplc="B598409A">
      <w:start w:val="1"/>
      <w:numFmt w:val="decimal"/>
      <w:lvlText w:val="%6)"/>
      <w:lvlJc w:val="left"/>
      <w:pPr>
        <w:ind w:left="1080" w:hanging="360"/>
      </w:pPr>
    </w:lvl>
    <w:lvl w:ilvl="6" w:tplc="E89C418E">
      <w:start w:val="1"/>
      <w:numFmt w:val="decimal"/>
      <w:lvlText w:val="%7)"/>
      <w:lvlJc w:val="left"/>
      <w:pPr>
        <w:ind w:left="1080" w:hanging="360"/>
      </w:pPr>
    </w:lvl>
    <w:lvl w:ilvl="7" w:tplc="6CA67B6A">
      <w:start w:val="1"/>
      <w:numFmt w:val="decimal"/>
      <w:lvlText w:val="%8)"/>
      <w:lvlJc w:val="left"/>
      <w:pPr>
        <w:ind w:left="1080" w:hanging="360"/>
      </w:pPr>
    </w:lvl>
    <w:lvl w:ilvl="8" w:tplc="162023F2">
      <w:start w:val="1"/>
      <w:numFmt w:val="decimal"/>
      <w:lvlText w:val="%9)"/>
      <w:lvlJc w:val="left"/>
      <w:pPr>
        <w:ind w:left="1080" w:hanging="360"/>
      </w:pPr>
    </w:lvl>
  </w:abstractNum>
  <w:abstractNum w:abstractNumId="13" w15:restartNumberingAfterBreak="0">
    <w:nsid w:val="43D80159"/>
    <w:multiLevelType w:val="hybridMultilevel"/>
    <w:tmpl w:val="BE623B7E"/>
    <w:lvl w:ilvl="0" w:tplc="DC08A3C6">
      <w:start w:val="1"/>
      <w:numFmt w:val="bullet"/>
      <w:lvlText w:val=""/>
      <w:lvlJc w:val="left"/>
      <w:pPr>
        <w:ind w:left="720" w:hanging="360"/>
      </w:pPr>
      <w:rPr>
        <w:rFonts w:ascii="Symbol" w:hAnsi="Symbol"/>
      </w:rPr>
    </w:lvl>
    <w:lvl w:ilvl="1" w:tplc="81E6C5AA">
      <w:start w:val="1"/>
      <w:numFmt w:val="bullet"/>
      <w:lvlText w:val=""/>
      <w:lvlJc w:val="left"/>
      <w:pPr>
        <w:ind w:left="720" w:hanging="360"/>
      </w:pPr>
      <w:rPr>
        <w:rFonts w:ascii="Symbol" w:hAnsi="Symbol"/>
      </w:rPr>
    </w:lvl>
    <w:lvl w:ilvl="2" w:tplc="C720AE86">
      <w:start w:val="1"/>
      <w:numFmt w:val="bullet"/>
      <w:lvlText w:val=""/>
      <w:lvlJc w:val="left"/>
      <w:pPr>
        <w:ind w:left="720" w:hanging="360"/>
      </w:pPr>
      <w:rPr>
        <w:rFonts w:ascii="Symbol" w:hAnsi="Symbol"/>
      </w:rPr>
    </w:lvl>
    <w:lvl w:ilvl="3" w:tplc="B70A913A">
      <w:start w:val="1"/>
      <w:numFmt w:val="bullet"/>
      <w:lvlText w:val=""/>
      <w:lvlJc w:val="left"/>
      <w:pPr>
        <w:ind w:left="720" w:hanging="360"/>
      </w:pPr>
      <w:rPr>
        <w:rFonts w:ascii="Symbol" w:hAnsi="Symbol"/>
      </w:rPr>
    </w:lvl>
    <w:lvl w:ilvl="4" w:tplc="FFEED3C6">
      <w:start w:val="1"/>
      <w:numFmt w:val="bullet"/>
      <w:lvlText w:val=""/>
      <w:lvlJc w:val="left"/>
      <w:pPr>
        <w:ind w:left="720" w:hanging="360"/>
      </w:pPr>
      <w:rPr>
        <w:rFonts w:ascii="Symbol" w:hAnsi="Symbol"/>
      </w:rPr>
    </w:lvl>
    <w:lvl w:ilvl="5" w:tplc="CE74EB74">
      <w:start w:val="1"/>
      <w:numFmt w:val="bullet"/>
      <w:lvlText w:val=""/>
      <w:lvlJc w:val="left"/>
      <w:pPr>
        <w:ind w:left="720" w:hanging="360"/>
      </w:pPr>
      <w:rPr>
        <w:rFonts w:ascii="Symbol" w:hAnsi="Symbol"/>
      </w:rPr>
    </w:lvl>
    <w:lvl w:ilvl="6" w:tplc="4BC4EC0A">
      <w:start w:val="1"/>
      <w:numFmt w:val="bullet"/>
      <w:lvlText w:val=""/>
      <w:lvlJc w:val="left"/>
      <w:pPr>
        <w:ind w:left="720" w:hanging="360"/>
      </w:pPr>
      <w:rPr>
        <w:rFonts w:ascii="Symbol" w:hAnsi="Symbol"/>
      </w:rPr>
    </w:lvl>
    <w:lvl w:ilvl="7" w:tplc="FABA6AA6">
      <w:start w:val="1"/>
      <w:numFmt w:val="bullet"/>
      <w:lvlText w:val=""/>
      <w:lvlJc w:val="left"/>
      <w:pPr>
        <w:ind w:left="720" w:hanging="360"/>
      </w:pPr>
      <w:rPr>
        <w:rFonts w:ascii="Symbol" w:hAnsi="Symbol"/>
      </w:rPr>
    </w:lvl>
    <w:lvl w:ilvl="8" w:tplc="CF2446A6">
      <w:start w:val="1"/>
      <w:numFmt w:val="bullet"/>
      <w:lvlText w:val=""/>
      <w:lvlJc w:val="left"/>
      <w:pPr>
        <w:ind w:left="720" w:hanging="360"/>
      </w:pPr>
      <w:rPr>
        <w:rFonts w:ascii="Symbol" w:hAnsi="Symbol"/>
      </w:rPr>
    </w:lvl>
  </w:abstractNum>
  <w:abstractNum w:abstractNumId="14" w15:restartNumberingAfterBreak="0">
    <w:nsid w:val="47C10C1E"/>
    <w:multiLevelType w:val="hybridMultilevel"/>
    <w:tmpl w:val="0F76A090"/>
    <w:lvl w:ilvl="0" w:tplc="2D78D030">
      <w:start w:val="1"/>
      <w:numFmt w:val="bullet"/>
      <w:lvlText w:val=""/>
      <w:lvlJc w:val="left"/>
      <w:pPr>
        <w:ind w:left="1080" w:hanging="360"/>
      </w:pPr>
      <w:rPr>
        <w:rFonts w:ascii="Symbol" w:hAnsi="Symbol"/>
      </w:rPr>
    </w:lvl>
    <w:lvl w:ilvl="1" w:tplc="541C5028">
      <w:start w:val="1"/>
      <w:numFmt w:val="bullet"/>
      <w:lvlText w:val=""/>
      <w:lvlJc w:val="left"/>
      <w:pPr>
        <w:ind w:left="1080" w:hanging="360"/>
      </w:pPr>
      <w:rPr>
        <w:rFonts w:ascii="Symbol" w:hAnsi="Symbol"/>
      </w:rPr>
    </w:lvl>
    <w:lvl w:ilvl="2" w:tplc="9E92C90C">
      <w:start w:val="1"/>
      <w:numFmt w:val="bullet"/>
      <w:lvlText w:val=""/>
      <w:lvlJc w:val="left"/>
      <w:pPr>
        <w:ind w:left="1080" w:hanging="360"/>
      </w:pPr>
      <w:rPr>
        <w:rFonts w:ascii="Symbol" w:hAnsi="Symbol"/>
      </w:rPr>
    </w:lvl>
    <w:lvl w:ilvl="3" w:tplc="5D8C3F72">
      <w:start w:val="1"/>
      <w:numFmt w:val="bullet"/>
      <w:lvlText w:val=""/>
      <w:lvlJc w:val="left"/>
      <w:pPr>
        <w:ind w:left="1080" w:hanging="360"/>
      </w:pPr>
      <w:rPr>
        <w:rFonts w:ascii="Symbol" w:hAnsi="Symbol"/>
      </w:rPr>
    </w:lvl>
    <w:lvl w:ilvl="4" w:tplc="760ACD62">
      <w:start w:val="1"/>
      <w:numFmt w:val="bullet"/>
      <w:lvlText w:val=""/>
      <w:lvlJc w:val="left"/>
      <w:pPr>
        <w:ind w:left="1080" w:hanging="360"/>
      </w:pPr>
      <w:rPr>
        <w:rFonts w:ascii="Symbol" w:hAnsi="Symbol"/>
      </w:rPr>
    </w:lvl>
    <w:lvl w:ilvl="5" w:tplc="BB0E8472">
      <w:start w:val="1"/>
      <w:numFmt w:val="bullet"/>
      <w:lvlText w:val=""/>
      <w:lvlJc w:val="left"/>
      <w:pPr>
        <w:ind w:left="1080" w:hanging="360"/>
      </w:pPr>
      <w:rPr>
        <w:rFonts w:ascii="Symbol" w:hAnsi="Symbol"/>
      </w:rPr>
    </w:lvl>
    <w:lvl w:ilvl="6" w:tplc="9904AF3E">
      <w:start w:val="1"/>
      <w:numFmt w:val="bullet"/>
      <w:lvlText w:val=""/>
      <w:lvlJc w:val="left"/>
      <w:pPr>
        <w:ind w:left="1080" w:hanging="360"/>
      </w:pPr>
      <w:rPr>
        <w:rFonts w:ascii="Symbol" w:hAnsi="Symbol"/>
      </w:rPr>
    </w:lvl>
    <w:lvl w:ilvl="7" w:tplc="51686F2E">
      <w:start w:val="1"/>
      <w:numFmt w:val="bullet"/>
      <w:lvlText w:val=""/>
      <w:lvlJc w:val="left"/>
      <w:pPr>
        <w:ind w:left="1080" w:hanging="360"/>
      </w:pPr>
      <w:rPr>
        <w:rFonts w:ascii="Symbol" w:hAnsi="Symbol"/>
      </w:rPr>
    </w:lvl>
    <w:lvl w:ilvl="8" w:tplc="AEAA44B8">
      <w:start w:val="1"/>
      <w:numFmt w:val="bullet"/>
      <w:lvlText w:val=""/>
      <w:lvlJc w:val="left"/>
      <w:pPr>
        <w:ind w:left="1080" w:hanging="360"/>
      </w:pPr>
      <w:rPr>
        <w:rFonts w:ascii="Symbol" w:hAnsi="Symbol"/>
      </w:rPr>
    </w:lvl>
  </w:abstractNum>
  <w:abstractNum w:abstractNumId="15" w15:restartNumberingAfterBreak="0">
    <w:nsid w:val="480F3E1B"/>
    <w:multiLevelType w:val="hybridMultilevel"/>
    <w:tmpl w:val="9F98263A"/>
    <w:lvl w:ilvl="0" w:tplc="F9B2B2EE">
      <w:start w:val="1"/>
      <w:numFmt w:val="bullet"/>
      <w:lvlText w:val=""/>
      <w:lvlJc w:val="left"/>
      <w:pPr>
        <w:ind w:left="720" w:hanging="360"/>
      </w:pPr>
      <w:rPr>
        <w:rFonts w:ascii="Symbol" w:hAnsi="Symbol"/>
      </w:rPr>
    </w:lvl>
    <w:lvl w:ilvl="1" w:tplc="FC42FF88">
      <w:start w:val="1"/>
      <w:numFmt w:val="bullet"/>
      <w:lvlText w:val=""/>
      <w:lvlJc w:val="left"/>
      <w:pPr>
        <w:ind w:left="720" w:hanging="360"/>
      </w:pPr>
      <w:rPr>
        <w:rFonts w:ascii="Symbol" w:hAnsi="Symbol"/>
      </w:rPr>
    </w:lvl>
    <w:lvl w:ilvl="2" w:tplc="A906E940">
      <w:start w:val="1"/>
      <w:numFmt w:val="bullet"/>
      <w:lvlText w:val=""/>
      <w:lvlJc w:val="left"/>
      <w:pPr>
        <w:ind w:left="720" w:hanging="360"/>
      </w:pPr>
      <w:rPr>
        <w:rFonts w:ascii="Symbol" w:hAnsi="Symbol"/>
      </w:rPr>
    </w:lvl>
    <w:lvl w:ilvl="3" w:tplc="D97E4C88">
      <w:start w:val="1"/>
      <w:numFmt w:val="bullet"/>
      <w:lvlText w:val=""/>
      <w:lvlJc w:val="left"/>
      <w:pPr>
        <w:ind w:left="720" w:hanging="360"/>
      </w:pPr>
      <w:rPr>
        <w:rFonts w:ascii="Symbol" w:hAnsi="Symbol"/>
      </w:rPr>
    </w:lvl>
    <w:lvl w:ilvl="4" w:tplc="7FF2DAEA">
      <w:start w:val="1"/>
      <w:numFmt w:val="bullet"/>
      <w:lvlText w:val=""/>
      <w:lvlJc w:val="left"/>
      <w:pPr>
        <w:ind w:left="720" w:hanging="360"/>
      </w:pPr>
      <w:rPr>
        <w:rFonts w:ascii="Symbol" w:hAnsi="Symbol"/>
      </w:rPr>
    </w:lvl>
    <w:lvl w:ilvl="5" w:tplc="F27AFDC2">
      <w:start w:val="1"/>
      <w:numFmt w:val="bullet"/>
      <w:lvlText w:val=""/>
      <w:lvlJc w:val="left"/>
      <w:pPr>
        <w:ind w:left="720" w:hanging="360"/>
      </w:pPr>
      <w:rPr>
        <w:rFonts w:ascii="Symbol" w:hAnsi="Symbol"/>
      </w:rPr>
    </w:lvl>
    <w:lvl w:ilvl="6" w:tplc="8B1063C4">
      <w:start w:val="1"/>
      <w:numFmt w:val="bullet"/>
      <w:lvlText w:val=""/>
      <w:lvlJc w:val="left"/>
      <w:pPr>
        <w:ind w:left="720" w:hanging="360"/>
      </w:pPr>
      <w:rPr>
        <w:rFonts w:ascii="Symbol" w:hAnsi="Symbol"/>
      </w:rPr>
    </w:lvl>
    <w:lvl w:ilvl="7" w:tplc="C0005956">
      <w:start w:val="1"/>
      <w:numFmt w:val="bullet"/>
      <w:lvlText w:val=""/>
      <w:lvlJc w:val="left"/>
      <w:pPr>
        <w:ind w:left="720" w:hanging="360"/>
      </w:pPr>
      <w:rPr>
        <w:rFonts w:ascii="Symbol" w:hAnsi="Symbol"/>
      </w:rPr>
    </w:lvl>
    <w:lvl w:ilvl="8" w:tplc="AF20E646">
      <w:start w:val="1"/>
      <w:numFmt w:val="bullet"/>
      <w:lvlText w:val=""/>
      <w:lvlJc w:val="left"/>
      <w:pPr>
        <w:ind w:left="720" w:hanging="360"/>
      </w:pPr>
      <w:rPr>
        <w:rFonts w:ascii="Symbol" w:hAnsi="Symbol"/>
      </w:rPr>
    </w:lvl>
  </w:abstractNum>
  <w:abstractNum w:abstractNumId="16" w15:restartNumberingAfterBreak="0">
    <w:nsid w:val="53E41D0A"/>
    <w:multiLevelType w:val="hybridMultilevel"/>
    <w:tmpl w:val="987EC24C"/>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D0B5D"/>
    <w:multiLevelType w:val="hybridMultilevel"/>
    <w:tmpl w:val="3C109162"/>
    <w:lvl w:ilvl="0" w:tplc="CEDA4182">
      <w:start w:val="1"/>
      <w:numFmt w:val="bullet"/>
      <w:lvlText w:val=""/>
      <w:lvlJc w:val="left"/>
      <w:pPr>
        <w:ind w:left="720" w:hanging="360"/>
      </w:pPr>
      <w:rPr>
        <w:rFonts w:ascii="Symbol" w:hAnsi="Symbol"/>
      </w:rPr>
    </w:lvl>
    <w:lvl w:ilvl="1" w:tplc="668CA748">
      <w:start w:val="1"/>
      <w:numFmt w:val="bullet"/>
      <w:lvlText w:val=""/>
      <w:lvlJc w:val="left"/>
      <w:pPr>
        <w:ind w:left="720" w:hanging="360"/>
      </w:pPr>
      <w:rPr>
        <w:rFonts w:ascii="Symbol" w:hAnsi="Symbol"/>
      </w:rPr>
    </w:lvl>
    <w:lvl w:ilvl="2" w:tplc="DF7675BC">
      <w:start w:val="1"/>
      <w:numFmt w:val="bullet"/>
      <w:lvlText w:val=""/>
      <w:lvlJc w:val="left"/>
      <w:pPr>
        <w:ind w:left="720" w:hanging="360"/>
      </w:pPr>
      <w:rPr>
        <w:rFonts w:ascii="Symbol" w:hAnsi="Symbol"/>
      </w:rPr>
    </w:lvl>
    <w:lvl w:ilvl="3" w:tplc="35B81B34">
      <w:start w:val="1"/>
      <w:numFmt w:val="bullet"/>
      <w:lvlText w:val=""/>
      <w:lvlJc w:val="left"/>
      <w:pPr>
        <w:ind w:left="720" w:hanging="360"/>
      </w:pPr>
      <w:rPr>
        <w:rFonts w:ascii="Symbol" w:hAnsi="Symbol"/>
      </w:rPr>
    </w:lvl>
    <w:lvl w:ilvl="4" w:tplc="15F48986">
      <w:start w:val="1"/>
      <w:numFmt w:val="bullet"/>
      <w:lvlText w:val=""/>
      <w:lvlJc w:val="left"/>
      <w:pPr>
        <w:ind w:left="720" w:hanging="360"/>
      </w:pPr>
      <w:rPr>
        <w:rFonts w:ascii="Symbol" w:hAnsi="Symbol"/>
      </w:rPr>
    </w:lvl>
    <w:lvl w:ilvl="5" w:tplc="4E4AE654">
      <w:start w:val="1"/>
      <w:numFmt w:val="bullet"/>
      <w:lvlText w:val=""/>
      <w:lvlJc w:val="left"/>
      <w:pPr>
        <w:ind w:left="720" w:hanging="360"/>
      </w:pPr>
      <w:rPr>
        <w:rFonts w:ascii="Symbol" w:hAnsi="Symbol"/>
      </w:rPr>
    </w:lvl>
    <w:lvl w:ilvl="6" w:tplc="C6BA8818">
      <w:start w:val="1"/>
      <w:numFmt w:val="bullet"/>
      <w:lvlText w:val=""/>
      <w:lvlJc w:val="left"/>
      <w:pPr>
        <w:ind w:left="720" w:hanging="360"/>
      </w:pPr>
      <w:rPr>
        <w:rFonts w:ascii="Symbol" w:hAnsi="Symbol"/>
      </w:rPr>
    </w:lvl>
    <w:lvl w:ilvl="7" w:tplc="883621FC">
      <w:start w:val="1"/>
      <w:numFmt w:val="bullet"/>
      <w:lvlText w:val=""/>
      <w:lvlJc w:val="left"/>
      <w:pPr>
        <w:ind w:left="720" w:hanging="360"/>
      </w:pPr>
      <w:rPr>
        <w:rFonts w:ascii="Symbol" w:hAnsi="Symbol"/>
      </w:rPr>
    </w:lvl>
    <w:lvl w:ilvl="8" w:tplc="2738F962">
      <w:start w:val="1"/>
      <w:numFmt w:val="bullet"/>
      <w:lvlText w:val=""/>
      <w:lvlJc w:val="left"/>
      <w:pPr>
        <w:ind w:left="720" w:hanging="360"/>
      </w:pPr>
      <w:rPr>
        <w:rFonts w:ascii="Symbol" w:hAnsi="Symbol"/>
      </w:rPr>
    </w:lvl>
  </w:abstractNum>
  <w:abstractNum w:abstractNumId="18" w15:restartNumberingAfterBreak="0">
    <w:nsid w:val="60195807"/>
    <w:multiLevelType w:val="hybridMultilevel"/>
    <w:tmpl w:val="E5D011D2"/>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F79B4"/>
    <w:multiLevelType w:val="hybridMultilevel"/>
    <w:tmpl w:val="8D1AA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EF055D"/>
    <w:multiLevelType w:val="hybridMultilevel"/>
    <w:tmpl w:val="E496F2B2"/>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14EAC"/>
    <w:multiLevelType w:val="hybridMultilevel"/>
    <w:tmpl w:val="AE2C6FDE"/>
    <w:lvl w:ilvl="0" w:tplc="F9C8238E">
      <w:start w:val="1"/>
      <w:numFmt w:val="bullet"/>
      <w:lvlText w:val=""/>
      <w:lvlJc w:val="left"/>
      <w:pPr>
        <w:ind w:left="1080" w:hanging="360"/>
      </w:pPr>
      <w:rPr>
        <w:rFonts w:ascii="Symbol" w:hAnsi="Symbol"/>
      </w:rPr>
    </w:lvl>
    <w:lvl w:ilvl="1" w:tplc="83942B60">
      <w:start w:val="1"/>
      <w:numFmt w:val="bullet"/>
      <w:lvlText w:val=""/>
      <w:lvlJc w:val="left"/>
      <w:pPr>
        <w:ind w:left="1080" w:hanging="360"/>
      </w:pPr>
      <w:rPr>
        <w:rFonts w:ascii="Symbol" w:hAnsi="Symbol"/>
      </w:rPr>
    </w:lvl>
    <w:lvl w:ilvl="2" w:tplc="7E9E1842">
      <w:start w:val="1"/>
      <w:numFmt w:val="bullet"/>
      <w:lvlText w:val=""/>
      <w:lvlJc w:val="left"/>
      <w:pPr>
        <w:ind w:left="1080" w:hanging="360"/>
      </w:pPr>
      <w:rPr>
        <w:rFonts w:ascii="Symbol" w:hAnsi="Symbol"/>
      </w:rPr>
    </w:lvl>
    <w:lvl w:ilvl="3" w:tplc="18C80A2E">
      <w:start w:val="1"/>
      <w:numFmt w:val="bullet"/>
      <w:lvlText w:val=""/>
      <w:lvlJc w:val="left"/>
      <w:pPr>
        <w:ind w:left="1080" w:hanging="360"/>
      </w:pPr>
      <w:rPr>
        <w:rFonts w:ascii="Symbol" w:hAnsi="Symbol"/>
      </w:rPr>
    </w:lvl>
    <w:lvl w:ilvl="4" w:tplc="E7A43050">
      <w:start w:val="1"/>
      <w:numFmt w:val="bullet"/>
      <w:lvlText w:val=""/>
      <w:lvlJc w:val="left"/>
      <w:pPr>
        <w:ind w:left="1080" w:hanging="360"/>
      </w:pPr>
      <w:rPr>
        <w:rFonts w:ascii="Symbol" w:hAnsi="Symbol"/>
      </w:rPr>
    </w:lvl>
    <w:lvl w:ilvl="5" w:tplc="D6F866D0">
      <w:start w:val="1"/>
      <w:numFmt w:val="bullet"/>
      <w:lvlText w:val=""/>
      <w:lvlJc w:val="left"/>
      <w:pPr>
        <w:ind w:left="1080" w:hanging="360"/>
      </w:pPr>
      <w:rPr>
        <w:rFonts w:ascii="Symbol" w:hAnsi="Symbol"/>
      </w:rPr>
    </w:lvl>
    <w:lvl w:ilvl="6" w:tplc="8EAE2572">
      <w:start w:val="1"/>
      <w:numFmt w:val="bullet"/>
      <w:lvlText w:val=""/>
      <w:lvlJc w:val="left"/>
      <w:pPr>
        <w:ind w:left="1080" w:hanging="360"/>
      </w:pPr>
      <w:rPr>
        <w:rFonts w:ascii="Symbol" w:hAnsi="Symbol"/>
      </w:rPr>
    </w:lvl>
    <w:lvl w:ilvl="7" w:tplc="FC7833C6">
      <w:start w:val="1"/>
      <w:numFmt w:val="bullet"/>
      <w:lvlText w:val=""/>
      <w:lvlJc w:val="left"/>
      <w:pPr>
        <w:ind w:left="1080" w:hanging="360"/>
      </w:pPr>
      <w:rPr>
        <w:rFonts w:ascii="Symbol" w:hAnsi="Symbol"/>
      </w:rPr>
    </w:lvl>
    <w:lvl w:ilvl="8" w:tplc="9F6A2DCA">
      <w:start w:val="1"/>
      <w:numFmt w:val="bullet"/>
      <w:lvlText w:val=""/>
      <w:lvlJc w:val="left"/>
      <w:pPr>
        <w:ind w:left="1080" w:hanging="360"/>
      </w:pPr>
      <w:rPr>
        <w:rFonts w:ascii="Symbol" w:hAnsi="Symbol"/>
      </w:rPr>
    </w:lvl>
  </w:abstractNum>
  <w:abstractNum w:abstractNumId="23" w15:restartNumberingAfterBreak="0">
    <w:nsid w:val="79340F2A"/>
    <w:multiLevelType w:val="hybridMultilevel"/>
    <w:tmpl w:val="F7FE5570"/>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E43FE4"/>
    <w:multiLevelType w:val="hybridMultilevel"/>
    <w:tmpl w:val="7FDCAD8A"/>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06554F"/>
    <w:multiLevelType w:val="hybridMultilevel"/>
    <w:tmpl w:val="DA941DC6"/>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C7EA3"/>
    <w:multiLevelType w:val="hybridMultilevel"/>
    <w:tmpl w:val="182CC0AE"/>
    <w:lvl w:ilvl="0" w:tplc="A39C16C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049112">
    <w:abstractNumId w:val="20"/>
  </w:num>
  <w:num w:numId="2" w16cid:durableId="678386360">
    <w:abstractNumId w:val="4"/>
  </w:num>
  <w:num w:numId="3" w16cid:durableId="855388251">
    <w:abstractNumId w:val="18"/>
  </w:num>
  <w:num w:numId="4" w16cid:durableId="703597317">
    <w:abstractNumId w:val="26"/>
  </w:num>
  <w:num w:numId="5" w16cid:durableId="1625845819">
    <w:abstractNumId w:val="16"/>
  </w:num>
  <w:num w:numId="6" w16cid:durableId="843592967">
    <w:abstractNumId w:val="2"/>
  </w:num>
  <w:num w:numId="7" w16cid:durableId="2103603467">
    <w:abstractNumId w:val="1"/>
  </w:num>
  <w:num w:numId="8" w16cid:durableId="1135676627">
    <w:abstractNumId w:val="6"/>
  </w:num>
  <w:num w:numId="9" w16cid:durableId="723220146">
    <w:abstractNumId w:val="21"/>
  </w:num>
  <w:num w:numId="10" w16cid:durableId="543444676">
    <w:abstractNumId w:val="23"/>
  </w:num>
  <w:num w:numId="11" w16cid:durableId="1919052588">
    <w:abstractNumId w:val="10"/>
  </w:num>
  <w:num w:numId="12" w16cid:durableId="1743988757">
    <w:abstractNumId w:val="25"/>
  </w:num>
  <w:num w:numId="13" w16cid:durableId="1549802011">
    <w:abstractNumId w:val="9"/>
  </w:num>
  <w:num w:numId="14" w16cid:durableId="1086533959">
    <w:abstractNumId w:val="7"/>
  </w:num>
  <w:num w:numId="15" w16cid:durableId="1357006079">
    <w:abstractNumId w:val="5"/>
  </w:num>
  <w:num w:numId="16" w16cid:durableId="1115639972">
    <w:abstractNumId w:val="8"/>
  </w:num>
  <w:num w:numId="17" w16cid:durableId="661856627">
    <w:abstractNumId w:val="3"/>
  </w:num>
  <w:num w:numId="18" w16cid:durableId="1284119706">
    <w:abstractNumId w:val="14"/>
  </w:num>
  <w:num w:numId="19" w16cid:durableId="1483696815">
    <w:abstractNumId w:val="13"/>
  </w:num>
  <w:num w:numId="20" w16cid:durableId="1211191930">
    <w:abstractNumId w:val="11"/>
  </w:num>
  <w:num w:numId="21" w16cid:durableId="1161196778">
    <w:abstractNumId w:val="15"/>
  </w:num>
  <w:num w:numId="22" w16cid:durableId="1083724048">
    <w:abstractNumId w:val="12"/>
  </w:num>
  <w:num w:numId="23" w16cid:durableId="27999281">
    <w:abstractNumId w:val="22"/>
  </w:num>
  <w:num w:numId="24" w16cid:durableId="1762527606">
    <w:abstractNumId w:val="17"/>
  </w:num>
  <w:num w:numId="25" w16cid:durableId="2041323293">
    <w:abstractNumId w:val="19"/>
  </w:num>
  <w:num w:numId="26" w16cid:durableId="374811460">
    <w:abstractNumId w:val="24"/>
  </w:num>
  <w:num w:numId="27" w16cid:durableId="18088603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27A3"/>
    <w:rsid w:val="000032AA"/>
    <w:rsid w:val="00003D54"/>
    <w:rsid w:val="0000692F"/>
    <w:rsid w:val="00007A8F"/>
    <w:rsid w:val="000128E8"/>
    <w:rsid w:val="0001295D"/>
    <w:rsid w:val="00012A53"/>
    <w:rsid w:val="00013BB7"/>
    <w:rsid w:val="00017636"/>
    <w:rsid w:val="00020078"/>
    <w:rsid w:val="0002070C"/>
    <w:rsid w:val="00023621"/>
    <w:rsid w:val="0002622F"/>
    <w:rsid w:val="00030406"/>
    <w:rsid w:val="00035018"/>
    <w:rsid w:val="00037D2C"/>
    <w:rsid w:val="00041337"/>
    <w:rsid w:val="000417C9"/>
    <w:rsid w:val="00042D12"/>
    <w:rsid w:val="00047689"/>
    <w:rsid w:val="00047A34"/>
    <w:rsid w:val="00051EB2"/>
    <w:rsid w:val="00052073"/>
    <w:rsid w:val="00052939"/>
    <w:rsid w:val="00055407"/>
    <w:rsid w:val="000611B2"/>
    <w:rsid w:val="0006176A"/>
    <w:rsid w:val="00061E20"/>
    <w:rsid w:val="00062D66"/>
    <w:rsid w:val="00062F6D"/>
    <w:rsid w:val="00064AF9"/>
    <w:rsid w:val="00064C29"/>
    <w:rsid w:val="00072F9E"/>
    <w:rsid w:val="000730C4"/>
    <w:rsid w:val="00074646"/>
    <w:rsid w:val="00074656"/>
    <w:rsid w:val="00075F6A"/>
    <w:rsid w:val="00077E06"/>
    <w:rsid w:val="0008022E"/>
    <w:rsid w:val="000814BE"/>
    <w:rsid w:val="0008258D"/>
    <w:rsid w:val="00090404"/>
    <w:rsid w:val="000906B0"/>
    <w:rsid w:val="000919B2"/>
    <w:rsid w:val="000945B6"/>
    <w:rsid w:val="000956B3"/>
    <w:rsid w:val="000962DD"/>
    <w:rsid w:val="000968FC"/>
    <w:rsid w:val="0009702A"/>
    <w:rsid w:val="00097BB7"/>
    <w:rsid w:val="00097E63"/>
    <w:rsid w:val="000A050D"/>
    <w:rsid w:val="000A0BF8"/>
    <w:rsid w:val="000A1E97"/>
    <w:rsid w:val="000A208D"/>
    <w:rsid w:val="000A307A"/>
    <w:rsid w:val="000A3BC5"/>
    <w:rsid w:val="000A3DAA"/>
    <w:rsid w:val="000A4002"/>
    <w:rsid w:val="000B13D0"/>
    <w:rsid w:val="000B22DF"/>
    <w:rsid w:val="000B27B0"/>
    <w:rsid w:val="000B2FFA"/>
    <w:rsid w:val="000B363F"/>
    <w:rsid w:val="000B4E00"/>
    <w:rsid w:val="000C0109"/>
    <w:rsid w:val="000C0458"/>
    <w:rsid w:val="000C0F6F"/>
    <w:rsid w:val="000C2097"/>
    <w:rsid w:val="000C4F44"/>
    <w:rsid w:val="000C567B"/>
    <w:rsid w:val="000D4F30"/>
    <w:rsid w:val="000D7AE8"/>
    <w:rsid w:val="000D7DF1"/>
    <w:rsid w:val="000E2370"/>
    <w:rsid w:val="000E291C"/>
    <w:rsid w:val="000E378A"/>
    <w:rsid w:val="000E3AC9"/>
    <w:rsid w:val="000E417F"/>
    <w:rsid w:val="000E4770"/>
    <w:rsid w:val="000E56C2"/>
    <w:rsid w:val="000E7C63"/>
    <w:rsid w:val="000F4243"/>
    <w:rsid w:val="000F49EB"/>
    <w:rsid w:val="000F7ABB"/>
    <w:rsid w:val="00100E78"/>
    <w:rsid w:val="00102BB7"/>
    <w:rsid w:val="00103DB5"/>
    <w:rsid w:val="001041E8"/>
    <w:rsid w:val="00104EDF"/>
    <w:rsid w:val="001059AB"/>
    <w:rsid w:val="00106B6D"/>
    <w:rsid w:val="00110AF1"/>
    <w:rsid w:val="0011256F"/>
    <w:rsid w:val="0011281B"/>
    <w:rsid w:val="00117651"/>
    <w:rsid w:val="00117902"/>
    <w:rsid w:val="001202B4"/>
    <w:rsid w:val="001225DC"/>
    <w:rsid w:val="001249A5"/>
    <w:rsid w:val="00134E3A"/>
    <w:rsid w:val="001357C4"/>
    <w:rsid w:val="0013581B"/>
    <w:rsid w:val="00135D72"/>
    <w:rsid w:val="00135E09"/>
    <w:rsid w:val="001374D7"/>
    <w:rsid w:val="00137B40"/>
    <w:rsid w:val="00143D96"/>
    <w:rsid w:val="00144E36"/>
    <w:rsid w:val="00145960"/>
    <w:rsid w:val="00145F4F"/>
    <w:rsid w:val="001460D3"/>
    <w:rsid w:val="001475F8"/>
    <w:rsid w:val="00150B2C"/>
    <w:rsid w:val="00156B90"/>
    <w:rsid w:val="00157BDB"/>
    <w:rsid w:val="0016310D"/>
    <w:rsid w:val="001636EF"/>
    <w:rsid w:val="00164CB9"/>
    <w:rsid w:val="00165F1B"/>
    <w:rsid w:val="001662E1"/>
    <w:rsid w:val="001702E1"/>
    <w:rsid w:val="00173D05"/>
    <w:rsid w:val="0017549E"/>
    <w:rsid w:val="00176E10"/>
    <w:rsid w:val="001803B1"/>
    <w:rsid w:val="00180A35"/>
    <w:rsid w:val="00183DA4"/>
    <w:rsid w:val="0019018A"/>
    <w:rsid w:val="00190AE1"/>
    <w:rsid w:val="00192631"/>
    <w:rsid w:val="00193233"/>
    <w:rsid w:val="00194111"/>
    <w:rsid w:val="00194995"/>
    <w:rsid w:val="001960A3"/>
    <w:rsid w:val="001962E7"/>
    <w:rsid w:val="001A058F"/>
    <w:rsid w:val="001A0D97"/>
    <w:rsid w:val="001A3223"/>
    <w:rsid w:val="001A4773"/>
    <w:rsid w:val="001A4E6F"/>
    <w:rsid w:val="001A5BCF"/>
    <w:rsid w:val="001A76C0"/>
    <w:rsid w:val="001B094F"/>
    <w:rsid w:val="001B3AB4"/>
    <w:rsid w:val="001B480C"/>
    <w:rsid w:val="001B5B7B"/>
    <w:rsid w:val="001B6521"/>
    <w:rsid w:val="001B6CE5"/>
    <w:rsid w:val="001C0BB7"/>
    <w:rsid w:val="001C1D0C"/>
    <w:rsid w:val="001C2F99"/>
    <w:rsid w:val="001C34AB"/>
    <w:rsid w:val="001C4A07"/>
    <w:rsid w:val="001C5828"/>
    <w:rsid w:val="001D0AA3"/>
    <w:rsid w:val="001D0DAF"/>
    <w:rsid w:val="001D2301"/>
    <w:rsid w:val="001D3775"/>
    <w:rsid w:val="001D3FBE"/>
    <w:rsid w:val="001D4F89"/>
    <w:rsid w:val="001D5263"/>
    <w:rsid w:val="001D580C"/>
    <w:rsid w:val="001D5BC2"/>
    <w:rsid w:val="001D79D6"/>
    <w:rsid w:val="001E15AF"/>
    <w:rsid w:val="001E4984"/>
    <w:rsid w:val="001E5D1F"/>
    <w:rsid w:val="001F1C68"/>
    <w:rsid w:val="001F4380"/>
    <w:rsid w:val="001F4F4F"/>
    <w:rsid w:val="00200ACB"/>
    <w:rsid w:val="002024C7"/>
    <w:rsid w:val="00204783"/>
    <w:rsid w:val="0020513F"/>
    <w:rsid w:val="0020606A"/>
    <w:rsid w:val="0020687B"/>
    <w:rsid w:val="00207CFF"/>
    <w:rsid w:val="00210544"/>
    <w:rsid w:val="00210E82"/>
    <w:rsid w:val="002155DF"/>
    <w:rsid w:val="002158A0"/>
    <w:rsid w:val="0021677C"/>
    <w:rsid w:val="002173C6"/>
    <w:rsid w:val="002213B2"/>
    <w:rsid w:val="002219CF"/>
    <w:rsid w:val="00221DE0"/>
    <w:rsid w:val="00222AA7"/>
    <w:rsid w:val="002240E9"/>
    <w:rsid w:val="0022452E"/>
    <w:rsid w:val="0022525B"/>
    <w:rsid w:val="002402B7"/>
    <w:rsid w:val="002404CF"/>
    <w:rsid w:val="00240CB6"/>
    <w:rsid w:val="00243FD2"/>
    <w:rsid w:val="00244A86"/>
    <w:rsid w:val="00250019"/>
    <w:rsid w:val="00251FDA"/>
    <w:rsid w:val="002544FA"/>
    <w:rsid w:val="00254927"/>
    <w:rsid w:val="00254AF2"/>
    <w:rsid w:val="0026000B"/>
    <w:rsid w:val="002602EF"/>
    <w:rsid w:val="00260D8B"/>
    <w:rsid w:val="00262550"/>
    <w:rsid w:val="00262788"/>
    <w:rsid w:val="002639D4"/>
    <w:rsid w:val="002646BC"/>
    <w:rsid w:val="00264CC0"/>
    <w:rsid w:val="00264EA2"/>
    <w:rsid w:val="00267304"/>
    <w:rsid w:val="002675F9"/>
    <w:rsid w:val="002709FF"/>
    <w:rsid w:val="00271336"/>
    <w:rsid w:val="00271A1C"/>
    <w:rsid w:val="00272C72"/>
    <w:rsid w:val="00273963"/>
    <w:rsid w:val="00274161"/>
    <w:rsid w:val="002766B9"/>
    <w:rsid w:val="00281102"/>
    <w:rsid w:val="002827C1"/>
    <w:rsid w:val="00282E5C"/>
    <w:rsid w:val="0028794E"/>
    <w:rsid w:val="00291198"/>
    <w:rsid w:val="00295F42"/>
    <w:rsid w:val="00296F89"/>
    <w:rsid w:val="00297312"/>
    <w:rsid w:val="002A07F3"/>
    <w:rsid w:val="002A0EF4"/>
    <w:rsid w:val="002A1CB6"/>
    <w:rsid w:val="002A589C"/>
    <w:rsid w:val="002A70D7"/>
    <w:rsid w:val="002A7CC1"/>
    <w:rsid w:val="002B1AFF"/>
    <w:rsid w:val="002B5CA6"/>
    <w:rsid w:val="002C158C"/>
    <w:rsid w:val="002C1711"/>
    <w:rsid w:val="002C371B"/>
    <w:rsid w:val="002C46D4"/>
    <w:rsid w:val="002C570D"/>
    <w:rsid w:val="002C702D"/>
    <w:rsid w:val="002D0D6A"/>
    <w:rsid w:val="002D128F"/>
    <w:rsid w:val="002D398F"/>
    <w:rsid w:val="002D5E8A"/>
    <w:rsid w:val="002E0181"/>
    <w:rsid w:val="002E3B80"/>
    <w:rsid w:val="002E5744"/>
    <w:rsid w:val="002F0BB8"/>
    <w:rsid w:val="002F3023"/>
    <w:rsid w:val="002F35DE"/>
    <w:rsid w:val="002F3BC4"/>
    <w:rsid w:val="00303551"/>
    <w:rsid w:val="00306967"/>
    <w:rsid w:val="00306CBA"/>
    <w:rsid w:val="003114D0"/>
    <w:rsid w:val="00316F43"/>
    <w:rsid w:val="0031759D"/>
    <w:rsid w:val="00320E23"/>
    <w:rsid w:val="00322B0F"/>
    <w:rsid w:val="0032439A"/>
    <w:rsid w:val="00324CBB"/>
    <w:rsid w:val="00325E5F"/>
    <w:rsid w:val="00331426"/>
    <w:rsid w:val="003328A3"/>
    <w:rsid w:val="00332FA8"/>
    <w:rsid w:val="00337DAB"/>
    <w:rsid w:val="003401A2"/>
    <w:rsid w:val="00340625"/>
    <w:rsid w:val="003422AF"/>
    <w:rsid w:val="00342313"/>
    <w:rsid w:val="00342A14"/>
    <w:rsid w:val="00345C1F"/>
    <w:rsid w:val="00351EDD"/>
    <w:rsid w:val="00352686"/>
    <w:rsid w:val="00355739"/>
    <w:rsid w:val="00355E6D"/>
    <w:rsid w:val="00357675"/>
    <w:rsid w:val="003602A3"/>
    <w:rsid w:val="00360776"/>
    <w:rsid w:val="00363868"/>
    <w:rsid w:val="003651B3"/>
    <w:rsid w:val="00367B42"/>
    <w:rsid w:val="00371498"/>
    <w:rsid w:val="003718C0"/>
    <w:rsid w:val="00372099"/>
    <w:rsid w:val="00376994"/>
    <w:rsid w:val="00376D77"/>
    <w:rsid w:val="00380CE5"/>
    <w:rsid w:val="00381C7A"/>
    <w:rsid w:val="0038249B"/>
    <w:rsid w:val="00387B67"/>
    <w:rsid w:val="00392B43"/>
    <w:rsid w:val="00396E0F"/>
    <w:rsid w:val="00397FA1"/>
    <w:rsid w:val="003A13DB"/>
    <w:rsid w:val="003A1837"/>
    <w:rsid w:val="003A7462"/>
    <w:rsid w:val="003B1908"/>
    <w:rsid w:val="003B2FF3"/>
    <w:rsid w:val="003B3DD5"/>
    <w:rsid w:val="003B6066"/>
    <w:rsid w:val="003B7414"/>
    <w:rsid w:val="003B76A2"/>
    <w:rsid w:val="003B7B3E"/>
    <w:rsid w:val="003C0555"/>
    <w:rsid w:val="003C08DB"/>
    <w:rsid w:val="003C1BA3"/>
    <w:rsid w:val="003C3EBD"/>
    <w:rsid w:val="003C4C54"/>
    <w:rsid w:val="003C54D8"/>
    <w:rsid w:val="003C598A"/>
    <w:rsid w:val="003C5C1B"/>
    <w:rsid w:val="003C6705"/>
    <w:rsid w:val="003C6E2C"/>
    <w:rsid w:val="003D02C7"/>
    <w:rsid w:val="003D0E2A"/>
    <w:rsid w:val="003D13C6"/>
    <w:rsid w:val="003D290A"/>
    <w:rsid w:val="003D30F4"/>
    <w:rsid w:val="003D4E4F"/>
    <w:rsid w:val="003D6987"/>
    <w:rsid w:val="003D7F19"/>
    <w:rsid w:val="003E03A2"/>
    <w:rsid w:val="003E1514"/>
    <w:rsid w:val="003E56E4"/>
    <w:rsid w:val="003E5C60"/>
    <w:rsid w:val="003E6011"/>
    <w:rsid w:val="003F0580"/>
    <w:rsid w:val="003F09A9"/>
    <w:rsid w:val="003F1BE1"/>
    <w:rsid w:val="003F1BE5"/>
    <w:rsid w:val="003F1EC6"/>
    <w:rsid w:val="003F2630"/>
    <w:rsid w:val="003F3B26"/>
    <w:rsid w:val="003F52FD"/>
    <w:rsid w:val="00400565"/>
    <w:rsid w:val="00402168"/>
    <w:rsid w:val="00403A71"/>
    <w:rsid w:val="00404415"/>
    <w:rsid w:val="00404874"/>
    <w:rsid w:val="00405A25"/>
    <w:rsid w:val="004061D0"/>
    <w:rsid w:val="00410628"/>
    <w:rsid w:val="00410DFC"/>
    <w:rsid w:val="00410F7A"/>
    <w:rsid w:val="00411397"/>
    <w:rsid w:val="004127A0"/>
    <w:rsid w:val="00413C8F"/>
    <w:rsid w:val="00416627"/>
    <w:rsid w:val="00417851"/>
    <w:rsid w:val="004246FD"/>
    <w:rsid w:val="004257A2"/>
    <w:rsid w:val="00426140"/>
    <w:rsid w:val="00427D44"/>
    <w:rsid w:val="0043105A"/>
    <w:rsid w:val="00433B1A"/>
    <w:rsid w:val="00436647"/>
    <w:rsid w:val="00436F3E"/>
    <w:rsid w:val="0044161C"/>
    <w:rsid w:val="00446523"/>
    <w:rsid w:val="004470EE"/>
    <w:rsid w:val="00451196"/>
    <w:rsid w:val="0045193E"/>
    <w:rsid w:val="00451DAC"/>
    <w:rsid w:val="00453F20"/>
    <w:rsid w:val="00454979"/>
    <w:rsid w:val="004554C9"/>
    <w:rsid w:val="0045786A"/>
    <w:rsid w:val="00460668"/>
    <w:rsid w:val="00460D33"/>
    <w:rsid w:val="0046183B"/>
    <w:rsid w:val="004626C6"/>
    <w:rsid w:val="00464E24"/>
    <w:rsid w:val="00466065"/>
    <w:rsid w:val="004713BF"/>
    <w:rsid w:val="00471E19"/>
    <w:rsid w:val="00472322"/>
    <w:rsid w:val="00473494"/>
    <w:rsid w:val="00473FBF"/>
    <w:rsid w:val="00474B71"/>
    <w:rsid w:val="00481EF6"/>
    <w:rsid w:val="00482AB2"/>
    <w:rsid w:val="00483F03"/>
    <w:rsid w:val="00485126"/>
    <w:rsid w:val="00485D11"/>
    <w:rsid w:val="00490438"/>
    <w:rsid w:val="004938F5"/>
    <w:rsid w:val="00494BC6"/>
    <w:rsid w:val="004951D9"/>
    <w:rsid w:val="00496B74"/>
    <w:rsid w:val="00497312"/>
    <w:rsid w:val="004A028F"/>
    <w:rsid w:val="004A0499"/>
    <w:rsid w:val="004A0CDB"/>
    <w:rsid w:val="004A452B"/>
    <w:rsid w:val="004A70FE"/>
    <w:rsid w:val="004B0DD2"/>
    <w:rsid w:val="004B2AD7"/>
    <w:rsid w:val="004B2CEF"/>
    <w:rsid w:val="004B3CA2"/>
    <w:rsid w:val="004B3D64"/>
    <w:rsid w:val="004B5E12"/>
    <w:rsid w:val="004B5F00"/>
    <w:rsid w:val="004B7694"/>
    <w:rsid w:val="004B7B0B"/>
    <w:rsid w:val="004C0353"/>
    <w:rsid w:val="004C04CB"/>
    <w:rsid w:val="004C0F68"/>
    <w:rsid w:val="004C0FD6"/>
    <w:rsid w:val="004C2A39"/>
    <w:rsid w:val="004C3BFE"/>
    <w:rsid w:val="004C478C"/>
    <w:rsid w:val="004C4C89"/>
    <w:rsid w:val="004C5DC9"/>
    <w:rsid w:val="004C65B5"/>
    <w:rsid w:val="004C6AA1"/>
    <w:rsid w:val="004C703E"/>
    <w:rsid w:val="004D07DE"/>
    <w:rsid w:val="004D1229"/>
    <w:rsid w:val="004D37B3"/>
    <w:rsid w:val="004D39CC"/>
    <w:rsid w:val="004D3FA3"/>
    <w:rsid w:val="004E15E8"/>
    <w:rsid w:val="004E3F2E"/>
    <w:rsid w:val="004E4096"/>
    <w:rsid w:val="004E668C"/>
    <w:rsid w:val="004E6E2A"/>
    <w:rsid w:val="004E6ED2"/>
    <w:rsid w:val="004F0B68"/>
    <w:rsid w:val="004F0C62"/>
    <w:rsid w:val="004F1504"/>
    <w:rsid w:val="004F181A"/>
    <w:rsid w:val="004F2BCE"/>
    <w:rsid w:val="004F2DB8"/>
    <w:rsid w:val="004F40A3"/>
    <w:rsid w:val="004F5492"/>
    <w:rsid w:val="005023C7"/>
    <w:rsid w:val="00503B38"/>
    <w:rsid w:val="0050726F"/>
    <w:rsid w:val="00507FF8"/>
    <w:rsid w:val="005103DF"/>
    <w:rsid w:val="00511CC9"/>
    <w:rsid w:val="005128BE"/>
    <w:rsid w:val="005128D3"/>
    <w:rsid w:val="00513AAB"/>
    <w:rsid w:val="00513ECA"/>
    <w:rsid w:val="0051604C"/>
    <w:rsid w:val="00517EEB"/>
    <w:rsid w:val="00520616"/>
    <w:rsid w:val="0052124F"/>
    <w:rsid w:val="00525AEF"/>
    <w:rsid w:val="00531ABB"/>
    <w:rsid w:val="0053428A"/>
    <w:rsid w:val="005374A1"/>
    <w:rsid w:val="0054214F"/>
    <w:rsid w:val="00542A87"/>
    <w:rsid w:val="00544114"/>
    <w:rsid w:val="00547272"/>
    <w:rsid w:val="00547F3C"/>
    <w:rsid w:val="005524E9"/>
    <w:rsid w:val="00554057"/>
    <w:rsid w:val="00554339"/>
    <w:rsid w:val="00554C79"/>
    <w:rsid w:val="00557547"/>
    <w:rsid w:val="00564794"/>
    <w:rsid w:val="00564D92"/>
    <w:rsid w:val="00565B05"/>
    <w:rsid w:val="00571792"/>
    <w:rsid w:val="005730D2"/>
    <w:rsid w:val="0057383E"/>
    <w:rsid w:val="00573A0C"/>
    <w:rsid w:val="005748EB"/>
    <w:rsid w:val="00577375"/>
    <w:rsid w:val="00577C00"/>
    <w:rsid w:val="005804CB"/>
    <w:rsid w:val="005806B8"/>
    <w:rsid w:val="00582CD2"/>
    <w:rsid w:val="00584EDD"/>
    <w:rsid w:val="00586A66"/>
    <w:rsid w:val="00587134"/>
    <w:rsid w:val="00587496"/>
    <w:rsid w:val="00590E90"/>
    <w:rsid w:val="005924AA"/>
    <w:rsid w:val="00594024"/>
    <w:rsid w:val="00594BC4"/>
    <w:rsid w:val="00595823"/>
    <w:rsid w:val="005964B2"/>
    <w:rsid w:val="005A1524"/>
    <w:rsid w:val="005A3E12"/>
    <w:rsid w:val="005A6888"/>
    <w:rsid w:val="005A79EC"/>
    <w:rsid w:val="005B30C0"/>
    <w:rsid w:val="005B3261"/>
    <w:rsid w:val="005B3442"/>
    <w:rsid w:val="005B5238"/>
    <w:rsid w:val="005B60A3"/>
    <w:rsid w:val="005B72E4"/>
    <w:rsid w:val="005B780C"/>
    <w:rsid w:val="005C0331"/>
    <w:rsid w:val="005C13E1"/>
    <w:rsid w:val="005C35C4"/>
    <w:rsid w:val="005C6658"/>
    <w:rsid w:val="005C67FF"/>
    <w:rsid w:val="005C68D3"/>
    <w:rsid w:val="005D4028"/>
    <w:rsid w:val="005D4569"/>
    <w:rsid w:val="005E13D7"/>
    <w:rsid w:val="005E14CF"/>
    <w:rsid w:val="005E2DE4"/>
    <w:rsid w:val="005E406A"/>
    <w:rsid w:val="005F5066"/>
    <w:rsid w:val="005F636F"/>
    <w:rsid w:val="005F6FDC"/>
    <w:rsid w:val="00600482"/>
    <w:rsid w:val="00602828"/>
    <w:rsid w:val="00602EAC"/>
    <w:rsid w:val="00604055"/>
    <w:rsid w:val="006040BC"/>
    <w:rsid w:val="00605919"/>
    <w:rsid w:val="00606B87"/>
    <w:rsid w:val="00607698"/>
    <w:rsid w:val="00610246"/>
    <w:rsid w:val="00611333"/>
    <w:rsid w:val="006124A6"/>
    <w:rsid w:val="00614497"/>
    <w:rsid w:val="00616FED"/>
    <w:rsid w:val="00621020"/>
    <w:rsid w:val="00621DA4"/>
    <w:rsid w:val="00625F0B"/>
    <w:rsid w:val="00630BA1"/>
    <w:rsid w:val="00631257"/>
    <w:rsid w:val="0063159E"/>
    <w:rsid w:val="00633132"/>
    <w:rsid w:val="006453A2"/>
    <w:rsid w:val="00646B3F"/>
    <w:rsid w:val="00647160"/>
    <w:rsid w:val="006533D5"/>
    <w:rsid w:val="00657D2C"/>
    <w:rsid w:val="00660B2D"/>
    <w:rsid w:val="006619C6"/>
    <w:rsid w:val="00661E42"/>
    <w:rsid w:val="00662ACF"/>
    <w:rsid w:val="00665F36"/>
    <w:rsid w:val="00666514"/>
    <w:rsid w:val="00673B17"/>
    <w:rsid w:val="0068048C"/>
    <w:rsid w:val="00680AC1"/>
    <w:rsid w:val="006813FA"/>
    <w:rsid w:val="00681889"/>
    <w:rsid w:val="006845A7"/>
    <w:rsid w:val="0068660C"/>
    <w:rsid w:val="00687E42"/>
    <w:rsid w:val="006900F5"/>
    <w:rsid w:val="00690613"/>
    <w:rsid w:val="00692EE7"/>
    <w:rsid w:val="0069417A"/>
    <w:rsid w:val="00694F4B"/>
    <w:rsid w:val="00696AD3"/>
    <w:rsid w:val="00697099"/>
    <w:rsid w:val="00697119"/>
    <w:rsid w:val="00697D3D"/>
    <w:rsid w:val="006A3FD2"/>
    <w:rsid w:val="006A4DB4"/>
    <w:rsid w:val="006A4F43"/>
    <w:rsid w:val="006A53E1"/>
    <w:rsid w:val="006A6BC6"/>
    <w:rsid w:val="006A7330"/>
    <w:rsid w:val="006B12B1"/>
    <w:rsid w:val="006B6BD8"/>
    <w:rsid w:val="006C09A8"/>
    <w:rsid w:val="006C16C1"/>
    <w:rsid w:val="006C2A59"/>
    <w:rsid w:val="006C566A"/>
    <w:rsid w:val="006C706A"/>
    <w:rsid w:val="006C7578"/>
    <w:rsid w:val="006D204D"/>
    <w:rsid w:val="006D3557"/>
    <w:rsid w:val="006D49BE"/>
    <w:rsid w:val="006D4C68"/>
    <w:rsid w:val="006D729D"/>
    <w:rsid w:val="006E3925"/>
    <w:rsid w:val="006E39C0"/>
    <w:rsid w:val="006E560C"/>
    <w:rsid w:val="006E5F9D"/>
    <w:rsid w:val="006E6579"/>
    <w:rsid w:val="006E6AFE"/>
    <w:rsid w:val="006E770F"/>
    <w:rsid w:val="006F0594"/>
    <w:rsid w:val="006F13E2"/>
    <w:rsid w:val="006F1F5C"/>
    <w:rsid w:val="006F3877"/>
    <w:rsid w:val="006F39F1"/>
    <w:rsid w:val="007010DC"/>
    <w:rsid w:val="007033B1"/>
    <w:rsid w:val="00705E7A"/>
    <w:rsid w:val="00707E2F"/>
    <w:rsid w:val="00712658"/>
    <w:rsid w:val="00714224"/>
    <w:rsid w:val="00714FA8"/>
    <w:rsid w:val="0071575B"/>
    <w:rsid w:val="00717B20"/>
    <w:rsid w:val="00721578"/>
    <w:rsid w:val="0072394A"/>
    <w:rsid w:val="00723CDC"/>
    <w:rsid w:val="007254E7"/>
    <w:rsid w:val="007261AC"/>
    <w:rsid w:val="00726691"/>
    <w:rsid w:val="00726948"/>
    <w:rsid w:val="00727C5B"/>
    <w:rsid w:val="00730917"/>
    <w:rsid w:val="00731710"/>
    <w:rsid w:val="00732040"/>
    <w:rsid w:val="00732DC1"/>
    <w:rsid w:val="007332A7"/>
    <w:rsid w:val="00733EBA"/>
    <w:rsid w:val="00735737"/>
    <w:rsid w:val="00740BDB"/>
    <w:rsid w:val="00740D58"/>
    <w:rsid w:val="0074183C"/>
    <w:rsid w:val="00742B3D"/>
    <w:rsid w:val="00742CD9"/>
    <w:rsid w:val="0074336B"/>
    <w:rsid w:val="00743F4B"/>
    <w:rsid w:val="00744D45"/>
    <w:rsid w:val="00744DAF"/>
    <w:rsid w:val="00745160"/>
    <w:rsid w:val="00745956"/>
    <w:rsid w:val="00745CC4"/>
    <w:rsid w:val="0074718E"/>
    <w:rsid w:val="0074775C"/>
    <w:rsid w:val="00747AFA"/>
    <w:rsid w:val="007521D3"/>
    <w:rsid w:val="00752F10"/>
    <w:rsid w:val="00753E21"/>
    <w:rsid w:val="007556EF"/>
    <w:rsid w:val="00760C07"/>
    <w:rsid w:val="00761766"/>
    <w:rsid w:val="0076176A"/>
    <w:rsid w:val="00761B83"/>
    <w:rsid w:val="00762D51"/>
    <w:rsid w:val="0076396F"/>
    <w:rsid w:val="007644BD"/>
    <w:rsid w:val="00766F33"/>
    <w:rsid w:val="00767900"/>
    <w:rsid w:val="00767F94"/>
    <w:rsid w:val="007704C8"/>
    <w:rsid w:val="0077167E"/>
    <w:rsid w:val="0077417B"/>
    <w:rsid w:val="0077512F"/>
    <w:rsid w:val="00775913"/>
    <w:rsid w:val="00776E21"/>
    <w:rsid w:val="00782201"/>
    <w:rsid w:val="00783323"/>
    <w:rsid w:val="00785D9C"/>
    <w:rsid w:val="007863DF"/>
    <w:rsid w:val="00787C09"/>
    <w:rsid w:val="00790CE3"/>
    <w:rsid w:val="00795113"/>
    <w:rsid w:val="00795327"/>
    <w:rsid w:val="007979BF"/>
    <w:rsid w:val="007A05A8"/>
    <w:rsid w:val="007A2A51"/>
    <w:rsid w:val="007A2E13"/>
    <w:rsid w:val="007A5CDF"/>
    <w:rsid w:val="007A7178"/>
    <w:rsid w:val="007B0ABA"/>
    <w:rsid w:val="007B3938"/>
    <w:rsid w:val="007B4823"/>
    <w:rsid w:val="007B6963"/>
    <w:rsid w:val="007B6A61"/>
    <w:rsid w:val="007B7DA6"/>
    <w:rsid w:val="007C09FF"/>
    <w:rsid w:val="007C0F53"/>
    <w:rsid w:val="007C5DEF"/>
    <w:rsid w:val="007D7ACF"/>
    <w:rsid w:val="007E0178"/>
    <w:rsid w:val="007E03EA"/>
    <w:rsid w:val="007E0A1E"/>
    <w:rsid w:val="007E16EE"/>
    <w:rsid w:val="007E4D6B"/>
    <w:rsid w:val="00804116"/>
    <w:rsid w:val="00804363"/>
    <w:rsid w:val="008050C7"/>
    <w:rsid w:val="00806325"/>
    <w:rsid w:val="008121AF"/>
    <w:rsid w:val="008121C3"/>
    <w:rsid w:val="00812372"/>
    <w:rsid w:val="0081271B"/>
    <w:rsid w:val="00822348"/>
    <w:rsid w:val="00822F24"/>
    <w:rsid w:val="00822F50"/>
    <w:rsid w:val="00823026"/>
    <w:rsid w:val="008308A1"/>
    <w:rsid w:val="00831C19"/>
    <w:rsid w:val="00835B41"/>
    <w:rsid w:val="00836141"/>
    <w:rsid w:val="008366F1"/>
    <w:rsid w:val="00837B89"/>
    <w:rsid w:val="008400B9"/>
    <w:rsid w:val="00841B0F"/>
    <w:rsid w:val="00842994"/>
    <w:rsid w:val="00843F43"/>
    <w:rsid w:val="00845158"/>
    <w:rsid w:val="008500C0"/>
    <w:rsid w:val="00850AC8"/>
    <w:rsid w:val="008512EE"/>
    <w:rsid w:val="00853D49"/>
    <w:rsid w:val="00854FA7"/>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900"/>
    <w:rsid w:val="00886BB2"/>
    <w:rsid w:val="008909BF"/>
    <w:rsid w:val="008919D1"/>
    <w:rsid w:val="00892ECC"/>
    <w:rsid w:val="00895E10"/>
    <w:rsid w:val="00895F50"/>
    <w:rsid w:val="008976EB"/>
    <w:rsid w:val="008A2970"/>
    <w:rsid w:val="008A3447"/>
    <w:rsid w:val="008A35DC"/>
    <w:rsid w:val="008A39AA"/>
    <w:rsid w:val="008A6C2B"/>
    <w:rsid w:val="008B11E2"/>
    <w:rsid w:val="008B18B3"/>
    <w:rsid w:val="008B1B4A"/>
    <w:rsid w:val="008B1DD1"/>
    <w:rsid w:val="008B3413"/>
    <w:rsid w:val="008B578C"/>
    <w:rsid w:val="008C2164"/>
    <w:rsid w:val="008C30D7"/>
    <w:rsid w:val="008C4542"/>
    <w:rsid w:val="008C5333"/>
    <w:rsid w:val="008C77E0"/>
    <w:rsid w:val="008D0A3B"/>
    <w:rsid w:val="008D1D17"/>
    <w:rsid w:val="008D32EB"/>
    <w:rsid w:val="008D3355"/>
    <w:rsid w:val="008D4120"/>
    <w:rsid w:val="008D55D2"/>
    <w:rsid w:val="008E0011"/>
    <w:rsid w:val="008E1998"/>
    <w:rsid w:val="008E1AF6"/>
    <w:rsid w:val="008E1B59"/>
    <w:rsid w:val="008E74C1"/>
    <w:rsid w:val="008E7C5E"/>
    <w:rsid w:val="008F2111"/>
    <w:rsid w:val="008F23B4"/>
    <w:rsid w:val="008F25C4"/>
    <w:rsid w:val="008F2DD1"/>
    <w:rsid w:val="008F4370"/>
    <w:rsid w:val="008F6A0E"/>
    <w:rsid w:val="008F75FF"/>
    <w:rsid w:val="00900918"/>
    <w:rsid w:val="0090185F"/>
    <w:rsid w:val="00902883"/>
    <w:rsid w:val="00903FC3"/>
    <w:rsid w:val="00904778"/>
    <w:rsid w:val="00904818"/>
    <w:rsid w:val="009065F8"/>
    <w:rsid w:val="00906908"/>
    <w:rsid w:val="00907A1E"/>
    <w:rsid w:val="00910219"/>
    <w:rsid w:val="00911FC4"/>
    <w:rsid w:val="00913A9C"/>
    <w:rsid w:val="009148FF"/>
    <w:rsid w:val="009155A2"/>
    <w:rsid w:val="00920E97"/>
    <w:rsid w:val="00924174"/>
    <w:rsid w:val="00926453"/>
    <w:rsid w:val="009271D9"/>
    <w:rsid w:val="00931677"/>
    <w:rsid w:val="009322F5"/>
    <w:rsid w:val="00932AEC"/>
    <w:rsid w:val="00937AF0"/>
    <w:rsid w:val="00937B53"/>
    <w:rsid w:val="00940F13"/>
    <w:rsid w:val="0094163F"/>
    <w:rsid w:val="00942920"/>
    <w:rsid w:val="00943348"/>
    <w:rsid w:val="009433EC"/>
    <w:rsid w:val="00945084"/>
    <w:rsid w:val="009455CB"/>
    <w:rsid w:val="00946DF2"/>
    <w:rsid w:val="009470B0"/>
    <w:rsid w:val="00950302"/>
    <w:rsid w:val="00951112"/>
    <w:rsid w:val="0095593B"/>
    <w:rsid w:val="00956572"/>
    <w:rsid w:val="00957CE7"/>
    <w:rsid w:val="009628DA"/>
    <w:rsid w:val="00963AC0"/>
    <w:rsid w:val="0096598E"/>
    <w:rsid w:val="0096627F"/>
    <w:rsid w:val="009674BD"/>
    <w:rsid w:val="00970A75"/>
    <w:rsid w:val="0097143C"/>
    <w:rsid w:val="00975564"/>
    <w:rsid w:val="00976BEE"/>
    <w:rsid w:val="009817A1"/>
    <w:rsid w:val="0098199F"/>
    <w:rsid w:val="0098667B"/>
    <w:rsid w:val="009868F0"/>
    <w:rsid w:val="00987440"/>
    <w:rsid w:val="009875B9"/>
    <w:rsid w:val="009900DE"/>
    <w:rsid w:val="0099169F"/>
    <w:rsid w:val="00992D19"/>
    <w:rsid w:val="0099492E"/>
    <w:rsid w:val="00996194"/>
    <w:rsid w:val="009A5CD8"/>
    <w:rsid w:val="009B0B7C"/>
    <w:rsid w:val="009B7F99"/>
    <w:rsid w:val="009C007A"/>
    <w:rsid w:val="009C1568"/>
    <w:rsid w:val="009C3C80"/>
    <w:rsid w:val="009C3ECE"/>
    <w:rsid w:val="009C4AC5"/>
    <w:rsid w:val="009D0234"/>
    <w:rsid w:val="009D4C78"/>
    <w:rsid w:val="009D6965"/>
    <w:rsid w:val="009E10EC"/>
    <w:rsid w:val="009E1277"/>
    <w:rsid w:val="009E1934"/>
    <w:rsid w:val="009E227B"/>
    <w:rsid w:val="009E24C9"/>
    <w:rsid w:val="009E2C5B"/>
    <w:rsid w:val="009E3466"/>
    <w:rsid w:val="009E72D2"/>
    <w:rsid w:val="009E7767"/>
    <w:rsid w:val="009E77F0"/>
    <w:rsid w:val="009F0AFB"/>
    <w:rsid w:val="009F5963"/>
    <w:rsid w:val="009F6E4D"/>
    <w:rsid w:val="009F70A2"/>
    <w:rsid w:val="00A0044F"/>
    <w:rsid w:val="00A0307C"/>
    <w:rsid w:val="00A039F5"/>
    <w:rsid w:val="00A05AF5"/>
    <w:rsid w:val="00A07D8E"/>
    <w:rsid w:val="00A10E11"/>
    <w:rsid w:val="00A11920"/>
    <w:rsid w:val="00A156F2"/>
    <w:rsid w:val="00A16731"/>
    <w:rsid w:val="00A26312"/>
    <w:rsid w:val="00A26FF1"/>
    <w:rsid w:val="00A27B3E"/>
    <w:rsid w:val="00A30A0D"/>
    <w:rsid w:val="00A30A26"/>
    <w:rsid w:val="00A30D1B"/>
    <w:rsid w:val="00A30E3E"/>
    <w:rsid w:val="00A31935"/>
    <w:rsid w:val="00A33197"/>
    <w:rsid w:val="00A331DC"/>
    <w:rsid w:val="00A33C34"/>
    <w:rsid w:val="00A3461E"/>
    <w:rsid w:val="00A34D9E"/>
    <w:rsid w:val="00A37C29"/>
    <w:rsid w:val="00A46D49"/>
    <w:rsid w:val="00A5012C"/>
    <w:rsid w:val="00A51A83"/>
    <w:rsid w:val="00A527FC"/>
    <w:rsid w:val="00A52892"/>
    <w:rsid w:val="00A544DC"/>
    <w:rsid w:val="00A549D0"/>
    <w:rsid w:val="00A561CD"/>
    <w:rsid w:val="00A56AF5"/>
    <w:rsid w:val="00A575C2"/>
    <w:rsid w:val="00A602A0"/>
    <w:rsid w:val="00A6153D"/>
    <w:rsid w:val="00A64995"/>
    <w:rsid w:val="00A65C9C"/>
    <w:rsid w:val="00A67D2C"/>
    <w:rsid w:val="00A72871"/>
    <w:rsid w:val="00A73635"/>
    <w:rsid w:val="00A74272"/>
    <w:rsid w:val="00A74C10"/>
    <w:rsid w:val="00A82A3E"/>
    <w:rsid w:val="00A86370"/>
    <w:rsid w:val="00A875C4"/>
    <w:rsid w:val="00A901B1"/>
    <w:rsid w:val="00A90DF6"/>
    <w:rsid w:val="00A91CA4"/>
    <w:rsid w:val="00A926B4"/>
    <w:rsid w:val="00A942B2"/>
    <w:rsid w:val="00A94953"/>
    <w:rsid w:val="00A95957"/>
    <w:rsid w:val="00A96762"/>
    <w:rsid w:val="00A96DEF"/>
    <w:rsid w:val="00AA0195"/>
    <w:rsid w:val="00AA2586"/>
    <w:rsid w:val="00AA311F"/>
    <w:rsid w:val="00AA4EF1"/>
    <w:rsid w:val="00AA55C2"/>
    <w:rsid w:val="00AA6CBF"/>
    <w:rsid w:val="00AB5C5C"/>
    <w:rsid w:val="00AB730D"/>
    <w:rsid w:val="00AB7E2C"/>
    <w:rsid w:val="00AC2D21"/>
    <w:rsid w:val="00AC4FC8"/>
    <w:rsid w:val="00AC5453"/>
    <w:rsid w:val="00AC5CD5"/>
    <w:rsid w:val="00AC6D90"/>
    <w:rsid w:val="00AC7AAE"/>
    <w:rsid w:val="00AD01E9"/>
    <w:rsid w:val="00AD6C84"/>
    <w:rsid w:val="00AE0894"/>
    <w:rsid w:val="00AE0B39"/>
    <w:rsid w:val="00AE0BF8"/>
    <w:rsid w:val="00AE1130"/>
    <w:rsid w:val="00AE2357"/>
    <w:rsid w:val="00AE3A1F"/>
    <w:rsid w:val="00AE3A95"/>
    <w:rsid w:val="00AE3D38"/>
    <w:rsid w:val="00AE637F"/>
    <w:rsid w:val="00AE7B08"/>
    <w:rsid w:val="00AF029B"/>
    <w:rsid w:val="00AF1388"/>
    <w:rsid w:val="00AF35DF"/>
    <w:rsid w:val="00AF5929"/>
    <w:rsid w:val="00AF6422"/>
    <w:rsid w:val="00AF661E"/>
    <w:rsid w:val="00AF6BB1"/>
    <w:rsid w:val="00AF6FFA"/>
    <w:rsid w:val="00AF7120"/>
    <w:rsid w:val="00B002A5"/>
    <w:rsid w:val="00B00CDB"/>
    <w:rsid w:val="00B02738"/>
    <w:rsid w:val="00B0548B"/>
    <w:rsid w:val="00B057F7"/>
    <w:rsid w:val="00B12D58"/>
    <w:rsid w:val="00B14963"/>
    <w:rsid w:val="00B14AC8"/>
    <w:rsid w:val="00B1581D"/>
    <w:rsid w:val="00B15943"/>
    <w:rsid w:val="00B21801"/>
    <w:rsid w:val="00B21B9C"/>
    <w:rsid w:val="00B23662"/>
    <w:rsid w:val="00B27107"/>
    <w:rsid w:val="00B273BA"/>
    <w:rsid w:val="00B31B8B"/>
    <w:rsid w:val="00B35430"/>
    <w:rsid w:val="00B37ED8"/>
    <w:rsid w:val="00B4162A"/>
    <w:rsid w:val="00B41EB4"/>
    <w:rsid w:val="00B424B3"/>
    <w:rsid w:val="00B42BC8"/>
    <w:rsid w:val="00B44705"/>
    <w:rsid w:val="00B44BCC"/>
    <w:rsid w:val="00B45296"/>
    <w:rsid w:val="00B46396"/>
    <w:rsid w:val="00B47C7F"/>
    <w:rsid w:val="00B51037"/>
    <w:rsid w:val="00B52F1B"/>
    <w:rsid w:val="00B54295"/>
    <w:rsid w:val="00B552FA"/>
    <w:rsid w:val="00B55E22"/>
    <w:rsid w:val="00B64BF5"/>
    <w:rsid w:val="00B6538D"/>
    <w:rsid w:val="00B65F30"/>
    <w:rsid w:val="00B673A6"/>
    <w:rsid w:val="00B706A9"/>
    <w:rsid w:val="00B72FF9"/>
    <w:rsid w:val="00B80C12"/>
    <w:rsid w:val="00B80E7B"/>
    <w:rsid w:val="00B81DE0"/>
    <w:rsid w:val="00B824CE"/>
    <w:rsid w:val="00B843C0"/>
    <w:rsid w:val="00B86230"/>
    <w:rsid w:val="00B876E6"/>
    <w:rsid w:val="00B87B03"/>
    <w:rsid w:val="00B918B0"/>
    <w:rsid w:val="00B91AEB"/>
    <w:rsid w:val="00B92E75"/>
    <w:rsid w:val="00B93B66"/>
    <w:rsid w:val="00B95358"/>
    <w:rsid w:val="00B961EC"/>
    <w:rsid w:val="00B9701B"/>
    <w:rsid w:val="00B9706C"/>
    <w:rsid w:val="00B9715C"/>
    <w:rsid w:val="00BA09B8"/>
    <w:rsid w:val="00BA791F"/>
    <w:rsid w:val="00BB2E75"/>
    <w:rsid w:val="00BB4C73"/>
    <w:rsid w:val="00BB5FD0"/>
    <w:rsid w:val="00BB71AB"/>
    <w:rsid w:val="00BC046F"/>
    <w:rsid w:val="00BC2767"/>
    <w:rsid w:val="00BC6162"/>
    <w:rsid w:val="00BC74D9"/>
    <w:rsid w:val="00BD00C4"/>
    <w:rsid w:val="00BD0528"/>
    <w:rsid w:val="00BD0F79"/>
    <w:rsid w:val="00BD378C"/>
    <w:rsid w:val="00BE0471"/>
    <w:rsid w:val="00BE1D25"/>
    <w:rsid w:val="00BE2ED8"/>
    <w:rsid w:val="00BE5369"/>
    <w:rsid w:val="00BE6D74"/>
    <w:rsid w:val="00BE76F0"/>
    <w:rsid w:val="00BF048C"/>
    <w:rsid w:val="00BF0846"/>
    <w:rsid w:val="00BF1733"/>
    <w:rsid w:val="00BF1B1A"/>
    <w:rsid w:val="00BF2FE8"/>
    <w:rsid w:val="00BF3DA4"/>
    <w:rsid w:val="00BF46A5"/>
    <w:rsid w:val="00C0144C"/>
    <w:rsid w:val="00C07B85"/>
    <w:rsid w:val="00C07C67"/>
    <w:rsid w:val="00C154B3"/>
    <w:rsid w:val="00C16FF1"/>
    <w:rsid w:val="00C22497"/>
    <w:rsid w:val="00C22C1E"/>
    <w:rsid w:val="00C23BEE"/>
    <w:rsid w:val="00C24602"/>
    <w:rsid w:val="00C310C8"/>
    <w:rsid w:val="00C312FA"/>
    <w:rsid w:val="00C318D5"/>
    <w:rsid w:val="00C32B2A"/>
    <w:rsid w:val="00C32CBD"/>
    <w:rsid w:val="00C33D10"/>
    <w:rsid w:val="00C33D89"/>
    <w:rsid w:val="00C364DE"/>
    <w:rsid w:val="00C40E67"/>
    <w:rsid w:val="00C440B5"/>
    <w:rsid w:val="00C44174"/>
    <w:rsid w:val="00C45678"/>
    <w:rsid w:val="00C45A98"/>
    <w:rsid w:val="00C467AB"/>
    <w:rsid w:val="00C469C6"/>
    <w:rsid w:val="00C47F9F"/>
    <w:rsid w:val="00C5045B"/>
    <w:rsid w:val="00C528BE"/>
    <w:rsid w:val="00C54884"/>
    <w:rsid w:val="00C54B80"/>
    <w:rsid w:val="00C55E99"/>
    <w:rsid w:val="00C56DD5"/>
    <w:rsid w:val="00C56F7D"/>
    <w:rsid w:val="00C57E2C"/>
    <w:rsid w:val="00C6033C"/>
    <w:rsid w:val="00C60DEA"/>
    <w:rsid w:val="00C61AFA"/>
    <w:rsid w:val="00C620EE"/>
    <w:rsid w:val="00C626D2"/>
    <w:rsid w:val="00C63B16"/>
    <w:rsid w:val="00C70AEB"/>
    <w:rsid w:val="00C745D4"/>
    <w:rsid w:val="00C80E34"/>
    <w:rsid w:val="00C81809"/>
    <w:rsid w:val="00C8216A"/>
    <w:rsid w:val="00C822EF"/>
    <w:rsid w:val="00C82DAC"/>
    <w:rsid w:val="00C83312"/>
    <w:rsid w:val="00C85BDC"/>
    <w:rsid w:val="00C87DD9"/>
    <w:rsid w:val="00C90F90"/>
    <w:rsid w:val="00C91C82"/>
    <w:rsid w:val="00C922FC"/>
    <w:rsid w:val="00C935CB"/>
    <w:rsid w:val="00C951A3"/>
    <w:rsid w:val="00C9667A"/>
    <w:rsid w:val="00CA1AF7"/>
    <w:rsid w:val="00CA60C8"/>
    <w:rsid w:val="00CA691F"/>
    <w:rsid w:val="00CA797F"/>
    <w:rsid w:val="00CA7A26"/>
    <w:rsid w:val="00CB010E"/>
    <w:rsid w:val="00CB16A5"/>
    <w:rsid w:val="00CB1F43"/>
    <w:rsid w:val="00CB3895"/>
    <w:rsid w:val="00CB3C6D"/>
    <w:rsid w:val="00CB4474"/>
    <w:rsid w:val="00CB4D12"/>
    <w:rsid w:val="00CB7587"/>
    <w:rsid w:val="00CB7C02"/>
    <w:rsid w:val="00CC2573"/>
    <w:rsid w:val="00CC3778"/>
    <w:rsid w:val="00CC4174"/>
    <w:rsid w:val="00CC61AD"/>
    <w:rsid w:val="00CC788C"/>
    <w:rsid w:val="00CD1563"/>
    <w:rsid w:val="00CD1F6C"/>
    <w:rsid w:val="00CD2184"/>
    <w:rsid w:val="00CD33A6"/>
    <w:rsid w:val="00CD35DD"/>
    <w:rsid w:val="00CE016A"/>
    <w:rsid w:val="00CE07D0"/>
    <w:rsid w:val="00CE1480"/>
    <w:rsid w:val="00CE1555"/>
    <w:rsid w:val="00CE1907"/>
    <w:rsid w:val="00CE3C9B"/>
    <w:rsid w:val="00CE4CA9"/>
    <w:rsid w:val="00CE57E9"/>
    <w:rsid w:val="00CE6220"/>
    <w:rsid w:val="00CF092A"/>
    <w:rsid w:val="00CF0A81"/>
    <w:rsid w:val="00CF1EB2"/>
    <w:rsid w:val="00CF2CAA"/>
    <w:rsid w:val="00CF529F"/>
    <w:rsid w:val="00CF7710"/>
    <w:rsid w:val="00D0297C"/>
    <w:rsid w:val="00D02D32"/>
    <w:rsid w:val="00D0363E"/>
    <w:rsid w:val="00D03719"/>
    <w:rsid w:val="00D059B8"/>
    <w:rsid w:val="00D061CE"/>
    <w:rsid w:val="00D10399"/>
    <w:rsid w:val="00D121B8"/>
    <w:rsid w:val="00D12F20"/>
    <w:rsid w:val="00D16991"/>
    <w:rsid w:val="00D16EEA"/>
    <w:rsid w:val="00D21463"/>
    <w:rsid w:val="00D21C4C"/>
    <w:rsid w:val="00D220AF"/>
    <w:rsid w:val="00D232E4"/>
    <w:rsid w:val="00D24A5B"/>
    <w:rsid w:val="00D25502"/>
    <w:rsid w:val="00D26394"/>
    <w:rsid w:val="00D27B40"/>
    <w:rsid w:val="00D32C2D"/>
    <w:rsid w:val="00D3332C"/>
    <w:rsid w:val="00D35326"/>
    <w:rsid w:val="00D37F50"/>
    <w:rsid w:val="00D40722"/>
    <w:rsid w:val="00D465D7"/>
    <w:rsid w:val="00D503C8"/>
    <w:rsid w:val="00D52303"/>
    <w:rsid w:val="00D52C0F"/>
    <w:rsid w:val="00D52FF0"/>
    <w:rsid w:val="00D53574"/>
    <w:rsid w:val="00D53653"/>
    <w:rsid w:val="00D54089"/>
    <w:rsid w:val="00D54F8C"/>
    <w:rsid w:val="00D55BA4"/>
    <w:rsid w:val="00D55F3F"/>
    <w:rsid w:val="00D569F0"/>
    <w:rsid w:val="00D57327"/>
    <w:rsid w:val="00D6124B"/>
    <w:rsid w:val="00D630A6"/>
    <w:rsid w:val="00D637A9"/>
    <w:rsid w:val="00D64153"/>
    <w:rsid w:val="00D65B85"/>
    <w:rsid w:val="00D71B62"/>
    <w:rsid w:val="00D74A0E"/>
    <w:rsid w:val="00D76450"/>
    <w:rsid w:val="00D7696B"/>
    <w:rsid w:val="00D8135D"/>
    <w:rsid w:val="00D85173"/>
    <w:rsid w:val="00D85C2B"/>
    <w:rsid w:val="00D86AEC"/>
    <w:rsid w:val="00D8781F"/>
    <w:rsid w:val="00D96514"/>
    <w:rsid w:val="00D966C0"/>
    <w:rsid w:val="00D969F0"/>
    <w:rsid w:val="00D96A6B"/>
    <w:rsid w:val="00DA2813"/>
    <w:rsid w:val="00DA30E4"/>
    <w:rsid w:val="00DA3FA4"/>
    <w:rsid w:val="00DA4098"/>
    <w:rsid w:val="00DA41F1"/>
    <w:rsid w:val="00DB1DD6"/>
    <w:rsid w:val="00DB210D"/>
    <w:rsid w:val="00DB29CF"/>
    <w:rsid w:val="00DB4D0F"/>
    <w:rsid w:val="00DB5DE3"/>
    <w:rsid w:val="00DB624D"/>
    <w:rsid w:val="00DC06A3"/>
    <w:rsid w:val="00DC1ECA"/>
    <w:rsid w:val="00DC6CD7"/>
    <w:rsid w:val="00DC735D"/>
    <w:rsid w:val="00DD0321"/>
    <w:rsid w:val="00DD22CE"/>
    <w:rsid w:val="00DD392B"/>
    <w:rsid w:val="00DD4625"/>
    <w:rsid w:val="00DD63C2"/>
    <w:rsid w:val="00DD6B2F"/>
    <w:rsid w:val="00DE1382"/>
    <w:rsid w:val="00DE2763"/>
    <w:rsid w:val="00DE3B13"/>
    <w:rsid w:val="00DE43A4"/>
    <w:rsid w:val="00DE6762"/>
    <w:rsid w:val="00DF11BC"/>
    <w:rsid w:val="00DF1CC5"/>
    <w:rsid w:val="00DF20EC"/>
    <w:rsid w:val="00DF39A7"/>
    <w:rsid w:val="00DF5904"/>
    <w:rsid w:val="00E00C3E"/>
    <w:rsid w:val="00E0277B"/>
    <w:rsid w:val="00E02A20"/>
    <w:rsid w:val="00E0304D"/>
    <w:rsid w:val="00E031C7"/>
    <w:rsid w:val="00E042DE"/>
    <w:rsid w:val="00E0785A"/>
    <w:rsid w:val="00E100F4"/>
    <w:rsid w:val="00E129EF"/>
    <w:rsid w:val="00E13846"/>
    <w:rsid w:val="00E142C5"/>
    <w:rsid w:val="00E15108"/>
    <w:rsid w:val="00E1599E"/>
    <w:rsid w:val="00E1680D"/>
    <w:rsid w:val="00E16B36"/>
    <w:rsid w:val="00E20732"/>
    <w:rsid w:val="00E20C1B"/>
    <w:rsid w:val="00E25A35"/>
    <w:rsid w:val="00E27008"/>
    <w:rsid w:val="00E341A6"/>
    <w:rsid w:val="00E34533"/>
    <w:rsid w:val="00E345E4"/>
    <w:rsid w:val="00E36873"/>
    <w:rsid w:val="00E42A37"/>
    <w:rsid w:val="00E45047"/>
    <w:rsid w:val="00E516C9"/>
    <w:rsid w:val="00E53094"/>
    <w:rsid w:val="00E555CE"/>
    <w:rsid w:val="00E63B75"/>
    <w:rsid w:val="00E650CA"/>
    <w:rsid w:val="00E66CD7"/>
    <w:rsid w:val="00E70AA2"/>
    <w:rsid w:val="00E710CB"/>
    <w:rsid w:val="00E7550C"/>
    <w:rsid w:val="00E75CCF"/>
    <w:rsid w:val="00E808D5"/>
    <w:rsid w:val="00E8107A"/>
    <w:rsid w:val="00E815E7"/>
    <w:rsid w:val="00E83766"/>
    <w:rsid w:val="00E8400E"/>
    <w:rsid w:val="00E841AF"/>
    <w:rsid w:val="00E93B94"/>
    <w:rsid w:val="00E93F49"/>
    <w:rsid w:val="00E96631"/>
    <w:rsid w:val="00E96D0C"/>
    <w:rsid w:val="00EA4068"/>
    <w:rsid w:val="00EA4374"/>
    <w:rsid w:val="00EA48C4"/>
    <w:rsid w:val="00EA4934"/>
    <w:rsid w:val="00EB159C"/>
    <w:rsid w:val="00EB239A"/>
    <w:rsid w:val="00EB3D0A"/>
    <w:rsid w:val="00EB5226"/>
    <w:rsid w:val="00EB620C"/>
    <w:rsid w:val="00EB67CE"/>
    <w:rsid w:val="00EC0DF9"/>
    <w:rsid w:val="00EC157C"/>
    <w:rsid w:val="00EC4C4B"/>
    <w:rsid w:val="00EC5B2F"/>
    <w:rsid w:val="00EC7926"/>
    <w:rsid w:val="00EC7D30"/>
    <w:rsid w:val="00ED0403"/>
    <w:rsid w:val="00ED1723"/>
    <w:rsid w:val="00ED4CC5"/>
    <w:rsid w:val="00ED5B02"/>
    <w:rsid w:val="00ED7C7F"/>
    <w:rsid w:val="00EE2373"/>
    <w:rsid w:val="00EE2957"/>
    <w:rsid w:val="00EE3FE6"/>
    <w:rsid w:val="00EE5D68"/>
    <w:rsid w:val="00EE715C"/>
    <w:rsid w:val="00EE7C8B"/>
    <w:rsid w:val="00EF1B80"/>
    <w:rsid w:val="00EF3742"/>
    <w:rsid w:val="00EF6783"/>
    <w:rsid w:val="00F00C4D"/>
    <w:rsid w:val="00F020C4"/>
    <w:rsid w:val="00F045E8"/>
    <w:rsid w:val="00F0513C"/>
    <w:rsid w:val="00F05854"/>
    <w:rsid w:val="00F06446"/>
    <w:rsid w:val="00F07C2A"/>
    <w:rsid w:val="00F11319"/>
    <w:rsid w:val="00F12C39"/>
    <w:rsid w:val="00F12D4A"/>
    <w:rsid w:val="00F16A87"/>
    <w:rsid w:val="00F20C3E"/>
    <w:rsid w:val="00F21904"/>
    <w:rsid w:val="00F21991"/>
    <w:rsid w:val="00F22B75"/>
    <w:rsid w:val="00F27DC4"/>
    <w:rsid w:val="00F30300"/>
    <w:rsid w:val="00F32904"/>
    <w:rsid w:val="00F33052"/>
    <w:rsid w:val="00F353BD"/>
    <w:rsid w:val="00F36061"/>
    <w:rsid w:val="00F37C7F"/>
    <w:rsid w:val="00F40E22"/>
    <w:rsid w:val="00F44D3C"/>
    <w:rsid w:val="00F45684"/>
    <w:rsid w:val="00F4667D"/>
    <w:rsid w:val="00F4779F"/>
    <w:rsid w:val="00F50E47"/>
    <w:rsid w:val="00F52AC1"/>
    <w:rsid w:val="00F53D07"/>
    <w:rsid w:val="00F555A3"/>
    <w:rsid w:val="00F56A88"/>
    <w:rsid w:val="00F57166"/>
    <w:rsid w:val="00F604C8"/>
    <w:rsid w:val="00F60BA3"/>
    <w:rsid w:val="00F616FC"/>
    <w:rsid w:val="00F61BC1"/>
    <w:rsid w:val="00F61FAA"/>
    <w:rsid w:val="00F62A7C"/>
    <w:rsid w:val="00F63746"/>
    <w:rsid w:val="00F63A6D"/>
    <w:rsid w:val="00F64CA8"/>
    <w:rsid w:val="00F64D86"/>
    <w:rsid w:val="00F655AA"/>
    <w:rsid w:val="00F72009"/>
    <w:rsid w:val="00F72C2E"/>
    <w:rsid w:val="00F74B23"/>
    <w:rsid w:val="00F756B0"/>
    <w:rsid w:val="00F77843"/>
    <w:rsid w:val="00F818C0"/>
    <w:rsid w:val="00F861D6"/>
    <w:rsid w:val="00F9057B"/>
    <w:rsid w:val="00F9241B"/>
    <w:rsid w:val="00F92B68"/>
    <w:rsid w:val="00F92BD7"/>
    <w:rsid w:val="00F96105"/>
    <w:rsid w:val="00FA038F"/>
    <w:rsid w:val="00FA0828"/>
    <w:rsid w:val="00FA0A2A"/>
    <w:rsid w:val="00FA0FD2"/>
    <w:rsid w:val="00FA2574"/>
    <w:rsid w:val="00FA339C"/>
    <w:rsid w:val="00FA4284"/>
    <w:rsid w:val="00FA4EA1"/>
    <w:rsid w:val="00FA4EEB"/>
    <w:rsid w:val="00FA5546"/>
    <w:rsid w:val="00FA6192"/>
    <w:rsid w:val="00FB0D9F"/>
    <w:rsid w:val="00FB150E"/>
    <w:rsid w:val="00FB221E"/>
    <w:rsid w:val="00FB54D7"/>
    <w:rsid w:val="00FB56D2"/>
    <w:rsid w:val="00FB6E69"/>
    <w:rsid w:val="00FC0C1F"/>
    <w:rsid w:val="00FC1D54"/>
    <w:rsid w:val="00FC2C4C"/>
    <w:rsid w:val="00FD024E"/>
    <w:rsid w:val="00FD0428"/>
    <w:rsid w:val="00FD1E49"/>
    <w:rsid w:val="00FD2A7F"/>
    <w:rsid w:val="00FD36B2"/>
    <w:rsid w:val="00FD3DCF"/>
    <w:rsid w:val="00FD467A"/>
    <w:rsid w:val="00FD60BD"/>
    <w:rsid w:val="00FE6A3D"/>
    <w:rsid w:val="00FF2072"/>
    <w:rsid w:val="00FF7657"/>
    <w:rsid w:val="00FF7DF8"/>
    <w:rsid w:val="40DE040B"/>
    <w:rsid w:val="4A30F59F"/>
    <w:rsid w:val="4C820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C3B1B2-2F00-4BA7-8CD0-CD846993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B42BC8"/>
    <w:pPr>
      <w:numPr>
        <w:ilvl w:val="0"/>
      </w:numPr>
      <w:spacing w:before="240" w:after="240" w:line="240" w:lineRule="auto"/>
      <w:outlineLvl w:val="0"/>
    </w:pPr>
    <w:rPr>
      <w:b/>
      <w:bCs/>
      <w:sz w:val="28"/>
      <w:szCs w:val="28"/>
    </w:rPr>
  </w:style>
  <w:style w:type="paragraph" w:styleId="Heading2">
    <w:name w:val="heading 2"/>
    <w:next w:val="Normal"/>
    <w:link w:val="Heading2Char"/>
    <w:uiPriority w:val="9"/>
    <w:unhideWhenUsed/>
    <w:qFormat/>
    <w:rsid w:val="008E0011"/>
    <w:pPr>
      <w:numPr>
        <w:ilvl w:val="1"/>
        <w:numId w:val="2"/>
      </w:numPr>
      <w:outlineLvl w:val="1"/>
    </w:pPr>
    <w:rPr>
      <w:rFonts w:ascii="Calibri" w:eastAsiaTheme="majorEastAsia" w:hAnsi="Calibri" w:cs="Calibri"/>
      <w:b/>
      <w:color w:val="009242"/>
      <w:sz w:val="24"/>
      <w:szCs w:val="28"/>
      <w:shd w:val="clear" w:color="auto" w:fill="FFFFFF"/>
      <w:lang w:eastAsia="en-GB"/>
    </w:rPr>
  </w:style>
  <w:style w:type="paragraph" w:styleId="Heading3">
    <w:name w:val="heading 3"/>
    <w:basedOn w:val="Normal"/>
    <w:next w:val="Normal"/>
    <w:link w:val="Heading3Char"/>
    <w:uiPriority w:val="9"/>
    <w:unhideWhenUsed/>
    <w:qFormat/>
    <w:rsid w:val="00250019"/>
    <w:pPr>
      <w:numPr>
        <w:ilvl w:val="2"/>
        <w:numId w:val="2"/>
      </w:numPr>
      <w:outlineLvl w:val="2"/>
    </w:pPr>
    <w:rPr>
      <w:color w:val="009242"/>
    </w:rPr>
  </w:style>
  <w:style w:type="paragraph" w:styleId="Heading4">
    <w:name w:val="heading 4"/>
    <w:basedOn w:val="Normal"/>
    <w:next w:val="Normal"/>
    <w:link w:val="Heading4Char"/>
    <w:uiPriority w:val="9"/>
    <w:unhideWhenUsed/>
    <w:qFormat/>
    <w:rsid w:val="00AE7B08"/>
    <w:pPr>
      <w:keepNext/>
      <w:keepLines/>
      <w:numPr>
        <w:ilvl w:val="3"/>
        <w:numId w:val="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C8"/>
    <w:rPr>
      <w:rFonts w:ascii="Calibri" w:hAnsi="Calibri" w:cs="Calibri"/>
      <w:b/>
      <w:bCs/>
      <w:color w:val="009242"/>
      <w:sz w:val="28"/>
      <w:szCs w:val="28"/>
      <w:lang w:eastAsia="en-GB"/>
    </w:rPr>
  </w:style>
  <w:style w:type="character" w:customStyle="1" w:styleId="Heading2Char">
    <w:name w:val="Heading 2 Char"/>
    <w:basedOn w:val="DefaultParagraphFont"/>
    <w:link w:val="Heading2"/>
    <w:uiPriority w:val="9"/>
    <w:rsid w:val="008E0011"/>
    <w:rPr>
      <w:rFonts w:ascii="Calibri" w:eastAsiaTheme="majorEastAsia" w:hAnsi="Calibri" w:cs="Calibri"/>
      <w:b/>
      <w:color w:val="009242"/>
      <w:sz w:val="24"/>
      <w:szCs w:val="28"/>
      <w:lang w:eastAsia="en-GB"/>
    </w:rPr>
  </w:style>
  <w:style w:type="character" w:customStyle="1" w:styleId="Heading3Char">
    <w:name w:val="Heading 3 Char"/>
    <w:basedOn w:val="DefaultParagraphFont"/>
    <w:link w:val="Heading3"/>
    <w:uiPriority w:val="9"/>
    <w:rsid w:val="00250019"/>
    <w:rPr>
      <w:rFonts w:ascii="Calibri" w:hAnsi="Calibri" w:cs="Calibri"/>
      <w:color w:val="009242"/>
      <w:sz w:val="24"/>
      <w:szCs w:val="24"/>
      <w:lang w:eastAsia="en-GB"/>
    </w:rPr>
  </w:style>
  <w:style w:type="character" w:customStyle="1" w:styleId="Heading4Char">
    <w:name w:val="Heading 4 Char"/>
    <w:basedOn w:val="DefaultParagraphFont"/>
    <w:link w:val="Heading4"/>
    <w:uiPriority w:val="9"/>
    <w:rsid w:val="00AE7B08"/>
    <w:rPr>
      <w:rFonts w:ascii="Calibri" w:eastAsiaTheme="majorEastAsia" w:hAnsi="Calibr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AE7B08"/>
    <w:rPr>
      <w:rFonts w:ascii="Calibri" w:eastAsiaTheme="majorEastAsia" w:hAnsi="Calibr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AE7B08"/>
    <w:rPr>
      <w:rFonts w:ascii="Calibri" w:eastAsiaTheme="majorEastAsia" w:hAnsi="Calibri" w:cstheme="majorBidi"/>
      <w:i/>
      <w:iCs/>
      <w:color w:val="595959" w:themeColor="text1" w:themeTint="A6"/>
      <w:sz w:val="24"/>
      <w:szCs w:val="24"/>
      <w:lang w:eastAsia="en-GB"/>
    </w:rPr>
  </w:style>
  <w:style w:type="character" w:customStyle="1" w:styleId="Heading7Char">
    <w:name w:val="Heading 7 Char"/>
    <w:basedOn w:val="DefaultParagraphFont"/>
    <w:link w:val="Heading7"/>
    <w:uiPriority w:val="9"/>
    <w:semiHidden/>
    <w:rsid w:val="00AE7B08"/>
    <w:rPr>
      <w:rFonts w:ascii="Calibri" w:eastAsiaTheme="majorEastAsia" w:hAnsi="Calibri" w:cstheme="majorBidi"/>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AE7B08"/>
    <w:rPr>
      <w:rFonts w:ascii="Calibri" w:eastAsiaTheme="majorEastAsia" w:hAnsi="Calibri" w:cstheme="majorBidi"/>
      <w:i/>
      <w:iCs/>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AE7B08"/>
    <w:rPr>
      <w:rFonts w:ascii="Calibri" w:eastAsiaTheme="majorEastAsia" w:hAnsi="Calibri" w:cstheme="majorBidi"/>
      <w:color w:val="272727" w:themeColor="text1" w:themeTint="D8"/>
      <w:sz w:val="24"/>
      <w:szCs w:val="24"/>
      <w:lang w:eastAsia="en-GB"/>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1"/>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pf0">
    <w:name w:val="pf0"/>
    <w:basedOn w:val="Normal"/>
    <w:rsid w:val="00064C29"/>
    <w:pPr>
      <w:spacing w:before="100" w:beforeAutospacing="1" w:after="100" w:afterAutospacing="1" w:line="240" w:lineRule="auto"/>
    </w:pPr>
    <w:rPr>
      <w:rFonts w:ascii="Times New Roman" w:eastAsia="Times New Roman" w:hAnsi="Times New Roman" w:cs="Times New Roman"/>
      <w:kern w:val="0"/>
      <w:shd w:val="clear" w:color="auto" w:fill="auto"/>
      <w14:ligatures w14:val="none"/>
    </w:rPr>
  </w:style>
  <w:style w:type="character" w:customStyle="1" w:styleId="cf01">
    <w:name w:val="cf01"/>
    <w:basedOn w:val="DefaultParagraphFont"/>
    <w:rsid w:val="00064C29"/>
    <w:rPr>
      <w:rFonts w:ascii="Segoe UI" w:hAnsi="Segoe UI" w:cs="Segoe UI" w:hint="default"/>
      <w:color w:val="737373"/>
      <w:sz w:val="18"/>
      <w:szCs w:val="18"/>
      <w:shd w:val="clear" w:color="auto" w:fill="FFFFFF"/>
    </w:rPr>
  </w:style>
  <w:style w:type="character" w:customStyle="1" w:styleId="cf11">
    <w:name w:val="cf11"/>
    <w:basedOn w:val="DefaultParagraphFont"/>
    <w:rsid w:val="00064C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1372">
      <w:bodyDiv w:val="1"/>
      <w:marLeft w:val="0"/>
      <w:marRight w:val="0"/>
      <w:marTop w:val="0"/>
      <w:marBottom w:val="0"/>
      <w:divBdr>
        <w:top w:val="none" w:sz="0" w:space="0" w:color="auto"/>
        <w:left w:val="none" w:sz="0" w:space="0" w:color="auto"/>
        <w:bottom w:val="none" w:sz="0" w:space="0" w:color="auto"/>
        <w:right w:val="none" w:sz="0" w:space="0" w:color="auto"/>
      </w:divBdr>
      <w:divsChild>
        <w:div w:id="460156109">
          <w:marLeft w:val="0"/>
          <w:marRight w:val="0"/>
          <w:marTop w:val="0"/>
          <w:marBottom w:val="0"/>
          <w:divBdr>
            <w:top w:val="none" w:sz="0" w:space="0" w:color="auto"/>
            <w:left w:val="none" w:sz="0" w:space="0" w:color="auto"/>
            <w:bottom w:val="none" w:sz="0" w:space="0" w:color="auto"/>
            <w:right w:val="none" w:sz="0" w:space="0" w:color="auto"/>
          </w:divBdr>
          <w:divsChild>
            <w:div w:id="10337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669218731">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35105882">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732263837">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nice.org.uk/guidance/cg168"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x.doi.org/10.1016/j.jvsv.2023.08.01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bi.aomrc.org.uk/interventions/varicose-vein-interventions/" TargetMode="External"/><Relationship Id="rId25" Type="http://schemas.openxmlformats.org/officeDocument/2006/relationships/hyperlink" Target="https://www.dynamed.com/condition/varicose-veins"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bestpractice.bmj.com/topics/en-gb/6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ice.org.uk/guidance/cg168/evidence/appendix-a-decision-matrix-pdf-2307804014"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www.england.nhs.uk/publication/decision-support-tool-making-a-decision-about-treatment-for-varicose-vei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ks.nice.org.uk/topics/varicose-vei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oi.org/10.1016/j.ejvs.2021.12.0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44238-EF26-4AEA-A9B7-2EE8519FCAFE}">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4d1c5b6-be05-4bbd-bcf7-747edf3e0227"/>
    <ds:schemaRef ds:uri="http://purl.org/dc/terms/"/>
    <ds:schemaRef ds:uri="c03657d8-15a2-4c46-bd5d-c19a21016eda"/>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3.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2400</Words>
  <Characters>15997</Characters>
  <Application>Microsoft Office Word</Application>
  <DocSecurity>0</DocSecurity>
  <PresentationFormat/>
  <Lines>133</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Brbre (NHS Healthcare Improvement Scotland)</dc:creator>
  <cp:keywords/>
  <dc:description/>
  <cp:lastModifiedBy>Jamie Savage (NHS Healthcare Improvement Scotland)</cp:lastModifiedBy>
  <cp:revision>3</cp:revision>
  <cp:lastPrinted>1900-01-01T08:00:00Z</cp:lastPrinted>
  <dcterms:created xsi:type="dcterms:W3CDTF">2025-05-28T09:15:00Z</dcterms:created>
  <dcterms:modified xsi:type="dcterms:W3CDTF">2025-10-02T08:53:00Z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f38de515-2584-4645-8dc7-2551d494a58b</vt:lpwstr>
  </property>
</Properties>
</file>