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04EDF981"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FF00A4"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FF00A4">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FF00A4">
        <w:rPr>
          <w:rFonts w:eastAsia="Calibri"/>
          <w:b/>
          <w:bCs/>
          <w:color w:val="FFFFFF"/>
          <w:kern w:val="0"/>
          <w:sz w:val="56"/>
          <w:szCs w:val="56"/>
          <w:shd w:val="clear" w:color="auto" w:fill="auto"/>
          <w:lang w:val="en-US" w:eastAsia="en-US"/>
          <w14:ligatures w14:val="none"/>
        </w:rPr>
        <w:t>Evidence Search and Summary</w:t>
      </w:r>
    </w:p>
    <w:p w14:paraId="25EF5495" w14:textId="1776281A" w:rsidR="00F06446" w:rsidRPr="00FF00A4" w:rsidRDefault="00FF00A4"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FF00A4">
        <w:rPr>
          <w:rFonts w:eastAsia="Calibri"/>
          <w:color w:val="FFFFFF"/>
          <w:kern w:val="0"/>
          <w:sz w:val="40"/>
          <w:szCs w:val="40"/>
          <w:shd w:val="clear" w:color="auto" w:fill="auto"/>
          <w:lang w:val="en-US" w:eastAsia="en-US"/>
          <w14:ligatures w14:val="none"/>
        </w:rPr>
        <w:t>Aesthetic facial surgery</w:t>
      </w:r>
      <w:r w:rsidR="00F06446" w:rsidRPr="00FF00A4">
        <w:rPr>
          <w:rFonts w:eastAsia="Calibri"/>
          <w:color w:val="FFFFFF"/>
          <w:kern w:val="0"/>
          <w:sz w:val="40"/>
          <w:szCs w:val="40"/>
          <w:shd w:val="clear" w:color="auto" w:fill="auto"/>
          <w:lang w:val="en-US" w:eastAsia="en-US"/>
          <w14:ligatures w14:val="none"/>
        </w:rPr>
        <w:t xml:space="preserve">: evidence base </w:t>
      </w:r>
      <w:r w:rsidR="0095593B" w:rsidRPr="00FF00A4">
        <w:rPr>
          <w:rFonts w:eastAsia="Calibri"/>
          <w:color w:val="FFFFFF"/>
          <w:kern w:val="0"/>
          <w:sz w:val="40"/>
          <w:szCs w:val="40"/>
          <w:shd w:val="clear" w:color="auto" w:fill="auto"/>
          <w:lang w:val="en-US" w:eastAsia="en-US"/>
          <w14:ligatures w14:val="none"/>
        </w:rPr>
        <w:br/>
      </w:r>
      <w:r w:rsidR="00F06446" w:rsidRPr="00FF00A4">
        <w:rPr>
          <w:rFonts w:eastAsia="Calibri"/>
          <w:color w:val="FFFFFF"/>
          <w:kern w:val="0"/>
          <w:sz w:val="40"/>
          <w:szCs w:val="40"/>
          <w:shd w:val="clear" w:color="auto" w:fill="auto"/>
          <w:lang w:val="en-US" w:eastAsia="en-US"/>
          <w14:ligatures w14:val="none"/>
        </w:rPr>
        <w:t>to underpin Exceptional Referral Protocol</w:t>
      </w:r>
    </w:p>
    <w:p w14:paraId="698C9498" w14:textId="77777777" w:rsidR="00F06446" w:rsidRPr="00FF00A4" w:rsidRDefault="00F06446" w:rsidP="00F06446">
      <w:pPr>
        <w:rPr>
          <w:shd w:val="clear" w:color="auto" w:fill="auto"/>
          <w:lang w:val="en-US" w:eastAsia="en-US"/>
        </w:rPr>
      </w:pPr>
    </w:p>
    <w:p w14:paraId="6F85A644" w14:textId="0CFD1A57" w:rsidR="008C2164" w:rsidRPr="00FF00A4" w:rsidRDefault="008C2164" w:rsidP="008C2164">
      <w:pPr>
        <w:rPr>
          <w:rFonts w:eastAsia="Times New Roman"/>
        </w:rPr>
      </w:pPr>
    </w:p>
    <w:p w14:paraId="5804428E" w14:textId="77777777" w:rsidR="0002622F" w:rsidRPr="00FF00A4" w:rsidRDefault="0002622F" w:rsidP="008C2164">
      <w:pPr>
        <w:rPr>
          <w:rFonts w:eastAsia="Times New Roman"/>
        </w:rPr>
      </w:pPr>
    </w:p>
    <w:p w14:paraId="674B73BE" w14:textId="0CA3E5B8" w:rsidR="00117651" w:rsidRPr="00FF00A4" w:rsidRDefault="000B2FFA" w:rsidP="00117651">
      <w:pPr>
        <w:rPr>
          <w:rFonts w:eastAsia="Times New Roman"/>
          <w:b/>
          <w:bCs/>
          <w:color w:val="009A46"/>
          <w:sz w:val="28"/>
          <w:szCs w:val="28"/>
        </w:rPr>
      </w:pPr>
      <w:r w:rsidRPr="00FF00A4">
        <w:rPr>
          <w:rFonts w:eastAsia="Times New Roman"/>
          <w:b/>
          <w:bCs/>
          <w:color w:val="009A46"/>
          <w:sz w:val="28"/>
          <w:szCs w:val="28"/>
        </w:rPr>
        <w:t>An e</w:t>
      </w:r>
      <w:r w:rsidR="00117651" w:rsidRPr="00FF00A4">
        <w:rPr>
          <w:rFonts w:eastAsia="Times New Roman"/>
          <w:b/>
          <w:bCs/>
          <w:color w:val="009A46"/>
          <w:sz w:val="28"/>
          <w:szCs w:val="28"/>
        </w:rPr>
        <w:t>vidence search and summar</w:t>
      </w:r>
      <w:r w:rsidRPr="00FF00A4">
        <w:rPr>
          <w:rFonts w:eastAsia="Times New Roman"/>
          <w:b/>
          <w:bCs/>
          <w:color w:val="009A46"/>
          <w:sz w:val="28"/>
          <w:szCs w:val="28"/>
        </w:rPr>
        <w:t>y is a</w:t>
      </w:r>
      <w:r w:rsidR="00117651" w:rsidRPr="00FF00A4">
        <w:rPr>
          <w:rFonts w:eastAsia="Times New Roman"/>
          <w:b/>
          <w:bCs/>
          <w:color w:val="009A46"/>
          <w:sz w:val="28"/>
          <w:szCs w:val="28"/>
        </w:rPr>
        <w:t xml:space="preserve"> high-level briefing to provide more detail about </w:t>
      </w:r>
      <w:r w:rsidR="00262788" w:rsidRPr="00FF00A4">
        <w:rPr>
          <w:rFonts w:eastAsia="Times New Roman"/>
          <w:b/>
          <w:bCs/>
          <w:color w:val="009A46"/>
          <w:sz w:val="28"/>
          <w:szCs w:val="28"/>
        </w:rPr>
        <w:t>a</w:t>
      </w:r>
      <w:r w:rsidR="00117651" w:rsidRPr="00FF00A4">
        <w:rPr>
          <w:rFonts w:eastAsia="Times New Roman"/>
          <w:b/>
          <w:bCs/>
          <w:color w:val="009A46"/>
          <w:sz w:val="28"/>
          <w:szCs w:val="28"/>
        </w:rPr>
        <w:t xml:space="preserve"> topic to help with decision making.</w:t>
      </w:r>
    </w:p>
    <w:p w14:paraId="3C2A477D" w14:textId="77777777" w:rsidR="00117651" w:rsidRPr="00FF00A4" w:rsidRDefault="00117651" w:rsidP="00117651">
      <w:pPr>
        <w:rPr>
          <w:rFonts w:eastAsia="Times New Roman"/>
          <w:color w:val="009A46"/>
          <w:sz w:val="28"/>
          <w:szCs w:val="28"/>
        </w:rPr>
      </w:pPr>
    </w:p>
    <w:p w14:paraId="20F81DAF" w14:textId="77777777" w:rsidR="00117651" w:rsidRPr="00FF00A4" w:rsidRDefault="00117651" w:rsidP="00117651">
      <w:pPr>
        <w:rPr>
          <w:rFonts w:eastAsia="Times New Roman"/>
          <w:color w:val="009A46"/>
          <w:sz w:val="28"/>
          <w:szCs w:val="28"/>
        </w:rPr>
      </w:pPr>
    </w:p>
    <w:p w14:paraId="685FD03F" w14:textId="77777777" w:rsidR="00F045E8" w:rsidRPr="00FF00A4"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FF00A4" w14:paraId="42390737" w14:textId="77777777" w:rsidTr="00400565">
        <w:tc>
          <w:tcPr>
            <w:tcW w:w="1418" w:type="dxa"/>
          </w:tcPr>
          <w:p w14:paraId="07E0A8E8" w14:textId="18000978" w:rsidR="002C702D" w:rsidRPr="00FF00A4" w:rsidRDefault="00895F50" w:rsidP="00B15943">
            <w:r w:rsidRPr="00FF00A4">
              <w:rPr>
                <w:b/>
                <w:bCs/>
              </w:rPr>
              <w:t>Referrer</w:t>
            </w:r>
            <w:r w:rsidR="00586A66" w:rsidRPr="00FF00A4">
              <w:rPr>
                <w:b/>
                <w:bCs/>
              </w:rPr>
              <w:t xml:space="preserve"> </w:t>
            </w:r>
            <w:r w:rsidR="00586A66" w:rsidRPr="00FF00A4">
              <w:rPr>
                <w:b/>
                <w:bCs/>
              </w:rPr>
              <w:br/>
            </w:r>
          </w:p>
        </w:tc>
        <w:tc>
          <w:tcPr>
            <w:tcW w:w="7598" w:type="dxa"/>
          </w:tcPr>
          <w:p w14:paraId="50BC769D" w14:textId="412A63A6" w:rsidR="002C702D" w:rsidRPr="00FF00A4" w:rsidRDefault="002C702D" w:rsidP="00B15943">
            <w:r w:rsidRPr="00FF00A4">
              <w:t xml:space="preserve">Andy Malyon, Chair, Procedures of Limited Value Group, </w:t>
            </w:r>
            <w:r w:rsidR="00C40E67" w:rsidRPr="00FF00A4">
              <w:t>Scottish Government</w:t>
            </w:r>
            <w:r w:rsidRPr="00FF00A4">
              <w:t xml:space="preserve"> </w:t>
            </w:r>
            <w:hyperlink r:id="rId14" w:history="1">
              <w:r w:rsidR="00C40E67" w:rsidRPr="00FF00A4">
                <w:rPr>
                  <w:rStyle w:val="Hyperlink"/>
                </w:rPr>
                <w:t>Andy.Malyon@gov.scot</w:t>
              </w:r>
            </w:hyperlink>
          </w:p>
          <w:p w14:paraId="691F56ED" w14:textId="77777777" w:rsidR="002C702D" w:rsidRPr="00FF00A4" w:rsidRDefault="002C702D" w:rsidP="00B15943"/>
          <w:p w14:paraId="72569F88" w14:textId="6589F8EA" w:rsidR="002C702D" w:rsidRPr="00FF00A4" w:rsidRDefault="002C702D" w:rsidP="00B15943">
            <w:pPr>
              <w:rPr>
                <w14:ligatures w14:val="none"/>
              </w:rPr>
            </w:pPr>
            <w:r w:rsidRPr="00FF00A4">
              <w:t xml:space="preserve">Craig Bell, </w:t>
            </w:r>
            <w:r w:rsidRPr="00FF00A4">
              <w:rPr>
                <w14:ligatures w14:val="none"/>
              </w:rPr>
              <w:t xml:space="preserve">Head of Realistic Medicine Policy Team, </w:t>
            </w:r>
            <w:r w:rsidR="00714FA8" w:rsidRPr="00FF00A4">
              <w:rPr>
                <w14:ligatures w14:val="none"/>
              </w:rPr>
              <w:br/>
            </w:r>
            <w:r w:rsidR="00C40E67" w:rsidRPr="00FF00A4">
              <w:t xml:space="preserve">Scottish Government </w:t>
            </w:r>
            <w:hyperlink r:id="rId15" w:history="1">
              <w:r w:rsidR="00D96514" w:rsidRPr="00FF00A4">
                <w:rPr>
                  <w:rStyle w:val="Hyperlink"/>
                  <w14:ligatures w14:val="none"/>
                </w:rPr>
                <w:t>craig.bell@gov.scot</w:t>
              </w:r>
            </w:hyperlink>
          </w:p>
          <w:p w14:paraId="003311A8" w14:textId="77777777" w:rsidR="002C702D" w:rsidRPr="00FF00A4" w:rsidRDefault="002C702D" w:rsidP="00B15943"/>
        </w:tc>
      </w:tr>
      <w:tr w:rsidR="002C702D" w:rsidRPr="001636EF" w14:paraId="4EA063D7" w14:textId="77777777" w:rsidTr="00400565">
        <w:tc>
          <w:tcPr>
            <w:tcW w:w="1418" w:type="dxa"/>
          </w:tcPr>
          <w:p w14:paraId="65C9F17D" w14:textId="6D073036" w:rsidR="002C702D" w:rsidRPr="00FF00A4" w:rsidRDefault="00400565" w:rsidP="00B15943">
            <w:r w:rsidRPr="00FF00A4">
              <w:rPr>
                <w:b/>
                <w:bCs/>
              </w:rPr>
              <w:t>Author</w:t>
            </w:r>
            <w:r w:rsidR="002C702D" w:rsidRPr="00FF00A4">
              <w:t xml:space="preserve"> </w:t>
            </w:r>
            <w:r w:rsidR="00194995" w:rsidRPr="00FF00A4">
              <w:br/>
            </w:r>
          </w:p>
          <w:p w14:paraId="20D690C4" w14:textId="6715C033" w:rsidR="00C40E67" w:rsidRPr="00FF00A4" w:rsidRDefault="00C40E67" w:rsidP="00B15943"/>
        </w:tc>
        <w:tc>
          <w:tcPr>
            <w:tcW w:w="7598" w:type="dxa"/>
          </w:tcPr>
          <w:p w14:paraId="4420F4E9" w14:textId="77777777" w:rsidR="00D96514" w:rsidRDefault="00FE7F2D" w:rsidP="00FE7F2D">
            <w:r w:rsidRPr="00FE7F2D">
              <w:t xml:space="preserve">Evidence </w:t>
            </w:r>
            <w:proofErr w:type="gramStart"/>
            <w:r w:rsidRPr="00FE7F2D">
              <w:t>search</w:t>
            </w:r>
            <w:proofErr w:type="gramEnd"/>
            <w:r w:rsidRPr="00FE7F2D">
              <w:t xml:space="preserve"> and summaries are authored by the Information Scientists in Healthcare Improvement Scotland (HIS), with support from colleagues in the HIS Research and Information Service</w:t>
            </w:r>
          </w:p>
          <w:p w14:paraId="5B1BA546" w14:textId="6735BF09" w:rsidR="00FE7F2D" w:rsidRPr="001636EF" w:rsidRDefault="00FE7F2D" w:rsidP="00FE7F2D"/>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4CC98E01" w:rsidR="002C702D" w:rsidRPr="001636EF" w:rsidRDefault="00F26B73" w:rsidP="00B15943">
            <w:r>
              <w:t>6</w:t>
            </w:r>
            <w:r w:rsidR="005E13D7" w:rsidRPr="001636EF">
              <w:t xml:space="preserve"> Feb</w:t>
            </w:r>
            <w:r w:rsidR="00AA4EF1" w:rsidRPr="001636EF">
              <w:t>ruary</w:t>
            </w:r>
            <w:r w:rsidR="005E13D7" w:rsidRPr="001636EF">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3FBFE9EB" w14:textId="77777777" w:rsidR="00E95C60" w:rsidRPr="001636EF" w:rsidRDefault="00E95C60" w:rsidP="00E95C60">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EastAsia"/>
          <w:b w:val="0"/>
          <w:bCs w:val="0"/>
          <w:color w:val="auto"/>
          <w:kern w:val="2"/>
          <w:sz w:val="24"/>
          <w:szCs w:val="24"/>
          <w:shd w:val="clear" w:color="auto" w:fill="FFFFFF"/>
          <w14:ligatures w14:val="standardContextual"/>
        </w:rPr>
        <w:id w:val="-1935431790"/>
        <w:docPartObj>
          <w:docPartGallery w:val="Table of Contents"/>
          <w:docPartUnique/>
        </w:docPartObj>
      </w:sdtPr>
      <w:sdtContent>
        <w:p w14:paraId="1242BAD4" w14:textId="1C3C09D6" w:rsidR="00A26312" w:rsidRPr="00EB239A" w:rsidRDefault="00A26312" w:rsidP="00B37DAA">
          <w:pPr>
            <w:pStyle w:val="TOCHeading"/>
          </w:pPr>
          <w:r w:rsidRPr="00EB239A">
            <w:t>Contents</w:t>
          </w:r>
        </w:p>
        <w:p w14:paraId="24C74351" w14:textId="70DE093A" w:rsidR="00530E53"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82819" w:history="1">
            <w:r w:rsidR="00530E53" w:rsidRPr="006970E2">
              <w:rPr>
                <w:rStyle w:val="Hyperlink"/>
                <w:noProof/>
              </w:rPr>
              <w:t>1</w:t>
            </w:r>
            <w:r w:rsidR="00530E53">
              <w:rPr>
                <w:rFonts w:asciiTheme="minorHAnsi" w:eastAsiaTheme="minorEastAsia" w:hAnsiTheme="minorHAnsi" w:cstheme="minorBidi"/>
                <w:noProof/>
                <w:shd w:val="clear" w:color="auto" w:fill="auto"/>
              </w:rPr>
              <w:tab/>
            </w:r>
            <w:r w:rsidR="00530E53" w:rsidRPr="006970E2">
              <w:rPr>
                <w:rStyle w:val="Hyperlink"/>
                <w:noProof/>
              </w:rPr>
              <w:t>Title</w:t>
            </w:r>
            <w:r w:rsidR="00530E53">
              <w:rPr>
                <w:noProof/>
                <w:webHidden/>
              </w:rPr>
              <w:tab/>
            </w:r>
            <w:r w:rsidR="00530E53">
              <w:rPr>
                <w:noProof/>
                <w:webHidden/>
              </w:rPr>
              <w:fldChar w:fldCharType="begin"/>
            </w:r>
            <w:r w:rsidR="00530E53">
              <w:rPr>
                <w:noProof/>
                <w:webHidden/>
              </w:rPr>
              <w:instrText xml:space="preserve"> PAGEREF _Toc197682819 \h </w:instrText>
            </w:r>
            <w:r w:rsidR="00530E53">
              <w:rPr>
                <w:noProof/>
                <w:webHidden/>
              </w:rPr>
            </w:r>
            <w:r w:rsidR="00530E53">
              <w:rPr>
                <w:noProof/>
                <w:webHidden/>
              </w:rPr>
              <w:fldChar w:fldCharType="separate"/>
            </w:r>
            <w:r w:rsidR="00530E53">
              <w:rPr>
                <w:noProof/>
                <w:webHidden/>
              </w:rPr>
              <w:t>2</w:t>
            </w:r>
            <w:r w:rsidR="00530E53">
              <w:rPr>
                <w:noProof/>
                <w:webHidden/>
              </w:rPr>
              <w:fldChar w:fldCharType="end"/>
            </w:r>
          </w:hyperlink>
        </w:p>
        <w:p w14:paraId="0B6E2EA8" w14:textId="4769C9DA"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20" w:history="1">
            <w:r w:rsidRPr="006970E2">
              <w:rPr>
                <w:rStyle w:val="Hyperlink"/>
                <w:noProof/>
              </w:rPr>
              <w:t>2</w:t>
            </w:r>
            <w:r>
              <w:rPr>
                <w:rFonts w:asciiTheme="minorHAnsi" w:eastAsiaTheme="minorEastAsia" w:hAnsiTheme="minorHAnsi" w:cstheme="minorBidi"/>
                <w:noProof/>
                <w:shd w:val="clear" w:color="auto" w:fill="auto"/>
              </w:rPr>
              <w:tab/>
            </w:r>
            <w:r w:rsidRPr="006970E2">
              <w:rPr>
                <w:rStyle w:val="Hyperlink"/>
                <w:noProof/>
              </w:rPr>
              <w:t>Questions</w:t>
            </w:r>
            <w:r>
              <w:rPr>
                <w:noProof/>
                <w:webHidden/>
              </w:rPr>
              <w:tab/>
            </w:r>
            <w:r>
              <w:rPr>
                <w:noProof/>
                <w:webHidden/>
              </w:rPr>
              <w:fldChar w:fldCharType="begin"/>
            </w:r>
            <w:r>
              <w:rPr>
                <w:noProof/>
                <w:webHidden/>
              </w:rPr>
              <w:instrText xml:space="preserve"> PAGEREF _Toc197682820 \h </w:instrText>
            </w:r>
            <w:r>
              <w:rPr>
                <w:noProof/>
                <w:webHidden/>
              </w:rPr>
            </w:r>
            <w:r>
              <w:rPr>
                <w:noProof/>
                <w:webHidden/>
              </w:rPr>
              <w:fldChar w:fldCharType="separate"/>
            </w:r>
            <w:r>
              <w:rPr>
                <w:noProof/>
                <w:webHidden/>
              </w:rPr>
              <w:t>2</w:t>
            </w:r>
            <w:r>
              <w:rPr>
                <w:noProof/>
                <w:webHidden/>
              </w:rPr>
              <w:fldChar w:fldCharType="end"/>
            </w:r>
          </w:hyperlink>
        </w:p>
        <w:p w14:paraId="1D009E4D" w14:textId="3DE943C3"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21" w:history="1">
            <w:r w:rsidRPr="006970E2">
              <w:rPr>
                <w:rStyle w:val="Hyperlink"/>
                <w:noProof/>
              </w:rPr>
              <w:t>3</w:t>
            </w:r>
            <w:r>
              <w:rPr>
                <w:rFonts w:asciiTheme="minorHAnsi" w:eastAsiaTheme="minorEastAsia" w:hAnsiTheme="minorHAnsi" w:cstheme="minorBidi"/>
                <w:noProof/>
                <w:shd w:val="clear" w:color="auto" w:fill="auto"/>
              </w:rPr>
              <w:tab/>
            </w:r>
            <w:r w:rsidRPr="006970E2">
              <w:rPr>
                <w:rStyle w:val="Hyperlink"/>
                <w:noProof/>
              </w:rPr>
              <w:t>Method and approach</w:t>
            </w:r>
            <w:r>
              <w:rPr>
                <w:noProof/>
                <w:webHidden/>
              </w:rPr>
              <w:tab/>
            </w:r>
            <w:r>
              <w:rPr>
                <w:noProof/>
                <w:webHidden/>
              </w:rPr>
              <w:fldChar w:fldCharType="begin"/>
            </w:r>
            <w:r>
              <w:rPr>
                <w:noProof/>
                <w:webHidden/>
              </w:rPr>
              <w:instrText xml:space="preserve"> PAGEREF _Toc197682821 \h </w:instrText>
            </w:r>
            <w:r>
              <w:rPr>
                <w:noProof/>
                <w:webHidden/>
              </w:rPr>
            </w:r>
            <w:r>
              <w:rPr>
                <w:noProof/>
                <w:webHidden/>
              </w:rPr>
              <w:fldChar w:fldCharType="separate"/>
            </w:r>
            <w:r>
              <w:rPr>
                <w:noProof/>
                <w:webHidden/>
              </w:rPr>
              <w:t>2</w:t>
            </w:r>
            <w:r>
              <w:rPr>
                <w:noProof/>
                <w:webHidden/>
              </w:rPr>
              <w:fldChar w:fldCharType="end"/>
            </w:r>
          </w:hyperlink>
        </w:p>
        <w:p w14:paraId="3BC5BD73" w14:textId="77A4C380"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22" w:history="1">
            <w:r w:rsidRPr="006970E2">
              <w:rPr>
                <w:rStyle w:val="Hyperlink"/>
                <w:noProof/>
              </w:rPr>
              <w:t>4</w:t>
            </w:r>
            <w:r>
              <w:rPr>
                <w:rFonts w:asciiTheme="minorHAnsi" w:eastAsiaTheme="minorEastAsia" w:hAnsiTheme="minorHAnsi" w:cstheme="minorBidi"/>
                <w:noProof/>
                <w:shd w:val="clear" w:color="auto" w:fill="auto"/>
              </w:rPr>
              <w:tab/>
            </w:r>
            <w:r w:rsidRPr="006970E2">
              <w:rPr>
                <w:rStyle w:val="Hyperlink"/>
                <w:noProof/>
              </w:rPr>
              <w:t>Referral criteria</w:t>
            </w:r>
            <w:r>
              <w:rPr>
                <w:noProof/>
                <w:webHidden/>
              </w:rPr>
              <w:tab/>
            </w:r>
            <w:r>
              <w:rPr>
                <w:noProof/>
                <w:webHidden/>
              </w:rPr>
              <w:fldChar w:fldCharType="begin"/>
            </w:r>
            <w:r>
              <w:rPr>
                <w:noProof/>
                <w:webHidden/>
              </w:rPr>
              <w:instrText xml:space="preserve"> PAGEREF _Toc197682822 \h </w:instrText>
            </w:r>
            <w:r>
              <w:rPr>
                <w:noProof/>
                <w:webHidden/>
              </w:rPr>
            </w:r>
            <w:r>
              <w:rPr>
                <w:noProof/>
                <w:webHidden/>
              </w:rPr>
              <w:fldChar w:fldCharType="separate"/>
            </w:r>
            <w:r>
              <w:rPr>
                <w:noProof/>
                <w:webHidden/>
              </w:rPr>
              <w:t>2</w:t>
            </w:r>
            <w:r>
              <w:rPr>
                <w:noProof/>
                <w:webHidden/>
              </w:rPr>
              <w:fldChar w:fldCharType="end"/>
            </w:r>
          </w:hyperlink>
        </w:p>
        <w:p w14:paraId="2C01B793" w14:textId="02FC5919"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23" w:history="1">
            <w:r w:rsidRPr="006970E2">
              <w:rPr>
                <w:rStyle w:val="Hyperlink"/>
                <w:noProof/>
              </w:rPr>
              <w:t>5</w:t>
            </w:r>
            <w:r>
              <w:rPr>
                <w:rFonts w:asciiTheme="minorHAnsi" w:eastAsiaTheme="minorEastAsia" w:hAnsiTheme="minorHAnsi" w:cstheme="minorBidi"/>
                <w:noProof/>
                <w:shd w:val="clear" w:color="auto" w:fill="auto"/>
              </w:rPr>
              <w:tab/>
            </w:r>
            <w:r w:rsidRPr="006970E2">
              <w:rPr>
                <w:rStyle w:val="Hyperlink"/>
                <w:noProof/>
              </w:rPr>
              <w:t>Benefits</w:t>
            </w:r>
            <w:r>
              <w:rPr>
                <w:noProof/>
                <w:webHidden/>
              </w:rPr>
              <w:tab/>
            </w:r>
            <w:r>
              <w:rPr>
                <w:noProof/>
                <w:webHidden/>
              </w:rPr>
              <w:fldChar w:fldCharType="begin"/>
            </w:r>
            <w:r>
              <w:rPr>
                <w:noProof/>
                <w:webHidden/>
              </w:rPr>
              <w:instrText xml:space="preserve"> PAGEREF _Toc197682823 \h </w:instrText>
            </w:r>
            <w:r>
              <w:rPr>
                <w:noProof/>
                <w:webHidden/>
              </w:rPr>
            </w:r>
            <w:r>
              <w:rPr>
                <w:noProof/>
                <w:webHidden/>
              </w:rPr>
              <w:fldChar w:fldCharType="separate"/>
            </w:r>
            <w:r>
              <w:rPr>
                <w:noProof/>
                <w:webHidden/>
              </w:rPr>
              <w:t>3</w:t>
            </w:r>
            <w:r>
              <w:rPr>
                <w:noProof/>
                <w:webHidden/>
              </w:rPr>
              <w:fldChar w:fldCharType="end"/>
            </w:r>
          </w:hyperlink>
        </w:p>
        <w:p w14:paraId="58EC513A" w14:textId="22E12749"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24" w:history="1">
            <w:r w:rsidRPr="006970E2">
              <w:rPr>
                <w:rStyle w:val="Hyperlink"/>
                <w:noProof/>
              </w:rPr>
              <w:t>6</w:t>
            </w:r>
            <w:r>
              <w:rPr>
                <w:rFonts w:asciiTheme="minorHAnsi" w:eastAsiaTheme="minorEastAsia" w:hAnsiTheme="minorHAnsi" w:cstheme="minorBidi"/>
                <w:noProof/>
                <w:shd w:val="clear" w:color="auto" w:fill="auto"/>
              </w:rPr>
              <w:tab/>
            </w:r>
            <w:r w:rsidRPr="006970E2">
              <w:rPr>
                <w:rStyle w:val="Hyperlink"/>
                <w:noProof/>
              </w:rPr>
              <w:t>Risks and complications</w:t>
            </w:r>
            <w:r>
              <w:rPr>
                <w:noProof/>
                <w:webHidden/>
              </w:rPr>
              <w:tab/>
            </w:r>
            <w:r>
              <w:rPr>
                <w:noProof/>
                <w:webHidden/>
              </w:rPr>
              <w:fldChar w:fldCharType="begin"/>
            </w:r>
            <w:r>
              <w:rPr>
                <w:noProof/>
                <w:webHidden/>
              </w:rPr>
              <w:instrText xml:space="preserve"> PAGEREF _Toc197682824 \h </w:instrText>
            </w:r>
            <w:r>
              <w:rPr>
                <w:noProof/>
                <w:webHidden/>
              </w:rPr>
            </w:r>
            <w:r>
              <w:rPr>
                <w:noProof/>
                <w:webHidden/>
              </w:rPr>
              <w:fldChar w:fldCharType="separate"/>
            </w:r>
            <w:r>
              <w:rPr>
                <w:noProof/>
                <w:webHidden/>
              </w:rPr>
              <w:t>4</w:t>
            </w:r>
            <w:r>
              <w:rPr>
                <w:noProof/>
                <w:webHidden/>
              </w:rPr>
              <w:fldChar w:fldCharType="end"/>
            </w:r>
          </w:hyperlink>
        </w:p>
        <w:p w14:paraId="7CF4FB34" w14:textId="26B571EB" w:rsidR="00530E53" w:rsidRDefault="00530E53">
          <w:pPr>
            <w:pStyle w:val="TOC2"/>
            <w:tabs>
              <w:tab w:val="left" w:pos="960"/>
              <w:tab w:val="right" w:leader="dot" w:pos="9016"/>
            </w:tabs>
            <w:rPr>
              <w:rFonts w:asciiTheme="minorHAnsi" w:eastAsiaTheme="minorEastAsia" w:hAnsiTheme="minorHAnsi" w:cstheme="minorBidi"/>
              <w:noProof/>
              <w:shd w:val="clear" w:color="auto" w:fill="auto"/>
            </w:rPr>
          </w:pPr>
          <w:hyperlink w:anchor="_Toc197682825" w:history="1">
            <w:r w:rsidRPr="006970E2">
              <w:rPr>
                <w:rStyle w:val="Hyperlink"/>
                <w:noProof/>
              </w:rPr>
              <w:t>6.1</w:t>
            </w:r>
            <w:r>
              <w:rPr>
                <w:rFonts w:asciiTheme="minorHAnsi" w:eastAsiaTheme="minorEastAsia" w:hAnsiTheme="minorHAnsi" w:cstheme="minorBidi"/>
                <w:noProof/>
                <w:shd w:val="clear" w:color="auto" w:fill="auto"/>
              </w:rPr>
              <w:tab/>
            </w:r>
            <w:r w:rsidRPr="006970E2">
              <w:rPr>
                <w:rStyle w:val="Hyperlink"/>
                <w:noProof/>
              </w:rPr>
              <w:t>Superficial muscular aponeurotic system (SMAS) facelift techniques</w:t>
            </w:r>
            <w:r>
              <w:rPr>
                <w:noProof/>
                <w:webHidden/>
              </w:rPr>
              <w:tab/>
            </w:r>
            <w:r>
              <w:rPr>
                <w:noProof/>
                <w:webHidden/>
              </w:rPr>
              <w:fldChar w:fldCharType="begin"/>
            </w:r>
            <w:r>
              <w:rPr>
                <w:noProof/>
                <w:webHidden/>
              </w:rPr>
              <w:instrText xml:space="preserve"> PAGEREF _Toc197682825 \h </w:instrText>
            </w:r>
            <w:r>
              <w:rPr>
                <w:noProof/>
                <w:webHidden/>
              </w:rPr>
            </w:r>
            <w:r>
              <w:rPr>
                <w:noProof/>
                <w:webHidden/>
              </w:rPr>
              <w:fldChar w:fldCharType="separate"/>
            </w:r>
            <w:r>
              <w:rPr>
                <w:noProof/>
                <w:webHidden/>
              </w:rPr>
              <w:t>5</w:t>
            </w:r>
            <w:r>
              <w:rPr>
                <w:noProof/>
                <w:webHidden/>
              </w:rPr>
              <w:fldChar w:fldCharType="end"/>
            </w:r>
          </w:hyperlink>
        </w:p>
        <w:p w14:paraId="5D55F1A0" w14:textId="610E7147" w:rsidR="00530E53" w:rsidRDefault="00530E53">
          <w:pPr>
            <w:pStyle w:val="TOC2"/>
            <w:tabs>
              <w:tab w:val="left" w:pos="960"/>
              <w:tab w:val="right" w:leader="dot" w:pos="9016"/>
            </w:tabs>
            <w:rPr>
              <w:rFonts w:asciiTheme="minorHAnsi" w:eastAsiaTheme="minorEastAsia" w:hAnsiTheme="minorHAnsi" w:cstheme="minorBidi"/>
              <w:noProof/>
              <w:shd w:val="clear" w:color="auto" w:fill="auto"/>
            </w:rPr>
          </w:pPr>
          <w:hyperlink w:anchor="_Toc197682826" w:history="1">
            <w:r w:rsidRPr="006970E2">
              <w:rPr>
                <w:rStyle w:val="Hyperlink"/>
                <w:noProof/>
              </w:rPr>
              <w:t>6.2</w:t>
            </w:r>
            <w:r>
              <w:rPr>
                <w:rFonts w:asciiTheme="minorHAnsi" w:eastAsiaTheme="minorEastAsia" w:hAnsiTheme="minorHAnsi" w:cstheme="minorBidi"/>
                <w:noProof/>
                <w:shd w:val="clear" w:color="auto" w:fill="auto"/>
              </w:rPr>
              <w:tab/>
            </w:r>
            <w:r w:rsidRPr="006970E2">
              <w:rPr>
                <w:rStyle w:val="Hyperlink"/>
                <w:noProof/>
              </w:rPr>
              <w:t>Neck lift</w:t>
            </w:r>
            <w:r>
              <w:rPr>
                <w:noProof/>
                <w:webHidden/>
              </w:rPr>
              <w:tab/>
            </w:r>
            <w:r>
              <w:rPr>
                <w:noProof/>
                <w:webHidden/>
              </w:rPr>
              <w:fldChar w:fldCharType="begin"/>
            </w:r>
            <w:r>
              <w:rPr>
                <w:noProof/>
                <w:webHidden/>
              </w:rPr>
              <w:instrText xml:space="preserve"> PAGEREF _Toc197682826 \h </w:instrText>
            </w:r>
            <w:r>
              <w:rPr>
                <w:noProof/>
                <w:webHidden/>
              </w:rPr>
            </w:r>
            <w:r>
              <w:rPr>
                <w:noProof/>
                <w:webHidden/>
              </w:rPr>
              <w:fldChar w:fldCharType="separate"/>
            </w:r>
            <w:r>
              <w:rPr>
                <w:noProof/>
                <w:webHidden/>
              </w:rPr>
              <w:t>6</w:t>
            </w:r>
            <w:r>
              <w:rPr>
                <w:noProof/>
                <w:webHidden/>
              </w:rPr>
              <w:fldChar w:fldCharType="end"/>
            </w:r>
          </w:hyperlink>
        </w:p>
        <w:p w14:paraId="45236B27" w14:textId="65A1C11E" w:rsidR="00530E53" w:rsidRDefault="00530E53">
          <w:pPr>
            <w:pStyle w:val="TOC2"/>
            <w:tabs>
              <w:tab w:val="left" w:pos="960"/>
              <w:tab w:val="right" w:leader="dot" w:pos="9016"/>
            </w:tabs>
            <w:rPr>
              <w:rFonts w:asciiTheme="minorHAnsi" w:eastAsiaTheme="minorEastAsia" w:hAnsiTheme="minorHAnsi" w:cstheme="minorBidi"/>
              <w:noProof/>
              <w:shd w:val="clear" w:color="auto" w:fill="auto"/>
            </w:rPr>
          </w:pPr>
          <w:hyperlink w:anchor="_Toc197682827" w:history="1">
            <w:r w:rsidRPr="006970E2">
              <w:rPr>
                <w:rStyle w:val="Hyperlink"/>
                <w:noProof/>
              </w:rPr>
              <w:t>6.3</w:t>
            </w:r>
            <w:r>
              <w:rPr>
                <w:rFonts w:asciiTheme="minorHAnsi" w:eastAsiaTheme="minorEastAsia" w:hAnsiTheme="minorHAnsi" w:cstheme="minorBidi"/>
                <w:noProof/>
                <w:shd w:val="clear" w:color="auto" w:fill="auto"/>
              </w:rPr>
              <w:tab/>
            </w:r>
            <w:r w:rsidRPr="006970E2">
              <w:rPr>
                <w:rStyle w:val="Hyperlink"/>
                <w:noProof/>
              </w:rPr>
              <w:t>Brow lift</w:t>
            </w:r>
            <w:r>
              <w:rPr>
                <w:noProof/>
                <w:webHidden/>
              </w:rPr>
              <w:tab/>
            </w:r>
            <w:r>
              <w:rPr>
                <w:noProof/>
                <w:webHidden/>
              </w:rPr>
              <w:fldChar w:fldCharType="begin"/>
            </w:r>
            <w:r>
              <w:rPr>
                <w:noProof/>
                <w:webHidden/>
              </w:rPr>
              <w:instrText xml:space="preserve"> PAGEREF _Toc197682827 \h </w:instrText>
            </w:r>
            <w:r>
              <w:rPr>
                <w:noProof/>
                <w:webHidden/>
              </w:rPr>
            </w:r>
            <w:r>
              <w:rPr>
                <w:noProof/>
                <w:webHidden/>
              </w:rPr>
              <w:fldChar w:fldCharType="separate"/>
            </w:r>
            <w:r>
              <w:rPr>
                <w:noProof/>
                <w:webHidden/>
              </w:rPr>
              <w:t>6</w:t>
            </w:r>
            <w:r>
              <w:rPr>
                <w:noProof/>
                <w:webHidden/>
              </w:rPr>
              <w:fldChar w:fldCharType="end"/>
            </w:r>
          </w:hyperlink>
        </w:p>
        <w:p w14:paraId="7AD2A3D0" w14:textId="2C4A0BD1"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28" w:history="1">
            <w:r w:rsidRPr="006970E2">
              <w:rPr>
                <w:rStyle w:val="Hyperlink"/>
                <w:noProof/>
              </w:rPr>
              <w:t>7</w:t>
            </w:r>
            <w:r>
              <w:rPr>
                <w:rFonts w:asciiTheme="minorHAnsi" w:eastAsiaTheme="minorEastAsia" w:hAnsiTheme="minorHAnsi" w:cstheme="minorBidi"/>
                <w:noProof/>
                <w:shd w:val="clear" w:color="auto" w:fill="auto"/>
              </w:rPr>
              <w:tab/>
            </w:r>
            <w:r w:rsidRPr="006970E2">
              <w:rPr>
                <w:rStyle w:val="Hyperlink"/>
                <w:noProof/>
              </w:rPr>
              <w:t>Alternatives to treatment</w:t>
            </w:r>
            <w:r>
              <w:rPr>
                <w:noProof/>
                <w:webHidden/>
              </w:rPr>
              <w:tab/>
            </w:r>
            <w:r>
              <w:rPr>
                <w:noProof/>
                <w:webHidden/>
              </w:rPr>
              <w:fldChar w:fldCharType="begin"/>
            </w:r>
            <w:r>
              <w:rPr>
                <w:noProof/>
                <w:webHidden/>
              </w:rPr>
              <w:instrText xml:space="preserve"> PAGEREF _Toc197682828 \h </w:instrText>
            </w:r>
            <w:r>
              <w:rPr>
                <w:noProof/>
                <w:webHidden/>
              </w:rPr>
            </w:r>
            <w:r>
              <w:rPr>
                <w:noProof/>
                <w:webHidden/>
              </w:rPr>
              <w:fldChar w:fldCharType="separate"/>
            </w:r>
            <w:r>
              <w:rPr>
                <w:noProof/>
                <w:webHidden/>
              </w:rPr>
              <w:t>7</w:t>
            </w:r>
            <w:r>
              <w:rPr>
                <w:noProof/>
                <w:webHidden/>
              </w:rPr>
              <w:fldChar w:fldCharType="end"/>
            </w:r>
          </w:hyperlink>
        </w:p>
        <w:p w14:paraId="7DE34AEF" w14:textId="53052E5F" w:rsidR="00530E53" w:rsidRDefault="00530E53">
          <w:pPr>
            <w:pStyle w:val="TOC2"/>
            <w:tabs>
              <w:tab w:val="left" w:pos="960"/>
              <w:tab w:val="right" w:leader="dot" w:pos="9016"/>
            </w:tabs>
            <w:rPr>
              <w:rFonts w:asciiTheme="minorHAnsi" w:eastAsiaTheme="minorEastAsia" w:hAnsiTheme="minorHAnsi" w:cstheme="minorBidi"/>
              <w:noProof/>
              <w:shd w:val="clear" w:color="auto" w:fill="auto"/>
            </w:rPr>
          </w:pPr>
          <w:hyperlink w:anchor="_Toc197682829" w:history="1">
            <w:r w:rsidRPr="006970E2">
              <w:rPr>
                <w:rStyle w:val="Hyperlink"/>
                <w:noProof/>
              </w:rPr>
              <w:t>7.1</w:t>
            </w:r>
            <w:r>
              <w:rPr>
                <w:rFonts w:asciiTheme="minorHAnsi" w:eastAsiaTheme="minorEastAsia" w:hAnsiTheme="minorHAnsi" w:cstheme="minorBidi"/>
                <w:noProof/>
                <w:shd w:val="clear" w:color="auto" w:fill="auto"/>
              </w:rPr>
              <w:tab/>
            </w:r>
            <w:r w:rsidRPr="006970E2">
              <w:rPr>
                <w:rStyle w:val="Hyperlink"/>
                <w:noProof/>
              </w:rPr>
              <w:t>Alternative surgical procedures</w:t>
            </w:r>
            <w:r>
              <w:rPr>
                <w:noProof/>
                <w:webHidden/>
              </w:rPr>
              <w:tab/>
            </w:r>
            <w:r>
              <w:rPr>
                <w:noProof/>
                <w:webHidden/>
              </w:rPr>
              <w:fldChar w:fldCharType="begin"/>
            </w:r>
            <w:r>
              <w:rPr>
                <w:noProof/>
                <w:webHidden/>
              </w:rPr>
              <w:instrText xml:space="preserve"> PAGEREF _Toc197682829 \h </w:instrText>
            </w:r>
            <w:r>
              <w:rPr>
                <w:noProof/>
                <w:webHidden/>
              </w:rPr>
            </w:r>
            <w:r>
              <w:rPr>
                <w:noProof/>
                <w:webHidden/>
              </w:rPr>
              <w:fldChar w:fldCharType="separate"/>
            </w:r>
            <w:r>
              <w:rPr>
                <w:noProof/>
                <w:webHidden/>
              </w:rPr>
              <w:t>7</w:t>
            </w:r>
            <w:r>
              <w:rPr>
                <w:noProof/>
                <w:webHidden/>
              </w:rPr>
              <w:fldChar w:fldCharType="end"/>
            </w:r>
          </w:hyperlink>
        </w:p>
        <w:p w14:paraId="13BEB414" w14:textId="5698DC8B" w:rsidR="00530E53" w:rsidRDefault="00530E53">
          <w:pPr>
            <w:pStyle w:val="TOC2"/>
            <w:tabs>
              <w:tab w:val="left" w:pos="960"/>
              <w:tab w:val="right" w:leader="dot" w:pos="9016"/>
            </w:tabs>
            <w:rPr>
              <w:rFonts w:asciiTheme="minorHAnsi" w:eastAsiaTheme="minorEastAsia" w:hAnsiTheme="minorHAnsi" w:cstheme="minorBidi"/>
              <w:noProof/>
              <w:shd w:val="clear" w:color="auto" w:fill="auto"/>
            </w:rPr>
          </w:pPr>
          <w:hyperlink w:anchor="_Toc197682830" w:history="1">
            <w:r w:rsidRPr="006970E2">
              <w:rPr>
                <w:rStyle w:val="Hyperlink"/>
                <w:noProof/>
              </w:rPr>
              <w:t>7.2</w:t>
            </w:r>
            <w:r>
              <w:rPr>
                <w:rFonts w:asciiTheme="minorHAnsi" w:eastAsiaTheme="minorEastAsia" w:hAnsiTheme="minorHAnsi" w:cstheme="minorBidi"/>
                <w:noProof/>
                <w:shd w:val="clear" w:color="auto" w:fill="auto"/>
              </w:rPr>
              <w:tab/>
            </w:r>
            <w:r w:rsidRPr="006970E2">
              <w:rPr>
                <w:rStyle w:val="Hyperlink"/>
                <w:noProof/>
              </w:rPr>
              <w:t>Alternative treatments to surgery</w:t>
            </w:r>
            <w:r>
              <w:rPr>
                <w:noProof/>
                <w:webHidden/>
              </w:rPr>
              <w:tab/>
            </w:r>
            <w:r>
              <w:rPr>
                <w:noProof/>
                <w:webHidden/>
              </w:rPr>
              <w:fldChar w:fldCharType="begin"/>
            </w:r>
            <w:r>
              <w:rPr>
                <w:noProof/>
                <w:webHidden/>
              </w:rPr>
              <w:instrText xml:space="preserve"> PAGEREF _Toc197682830 \h </w:instrText>
            </w:r>
            <w:r>
              <w:rPr>
                <w:noProof/>
                <w:webHidden/>
              </w:rPr>
            </w:r>
            <w:r>
              <w:rPr>
                <w:noProof/>
                <w:webHidden/>
              </w:rPr>
              <w:fldChar w:fldCharType="separate"/>
            </w:r>
            <w:r>
              <w:rPr>
                <w:noProof/>
                <w:webHidden/>
              </w:rPr>
              <w:t>7</w:t>
            </w:r>
            <w:r>
              <w:rPr>
                <w:noProof/>
                <w:webHidden/>
              </w:rPr>
              <w:fldChar w:fldCharType="end"/>
            </w:r>
          </w:hyperlink>
        </w:p>
        <w:p w14:paraId="160F237B" w14:textId="68996A5C" w:rsidR="00530E53" w:rsidRDefault="00530E53">
          <w:pPr>
            <w:pStyle w:val="TOC3"/>
            <w:tabs>
              <w:tab w:val="left" w:pos="1440"/>
              <w:tab w:val="right" w:leader="dot" w:pos="9016"/>
            </w:tabs>
            <w:rPr>
              <w:rFonts w:asciiTheme="minorHAnsi" w:eastAsiaTheme="minorEastAsia" w:hAnsiTheme="minorHAnsi" w:cstheme="minorBidi"/>
              <w:noProof/>
              <w:shd w:val="clear" w:color="auto" w:fill="auto"/>
            </w:rPr>
          </w:pPr>
          <w:hyperlink w:anchor="_Toc197682831" w:history="1">
            <w:r w:rsidRPr="006970E2">
              <w:rPr>
                <w:rStyle w:val="Hyperlink"/>
                <w:noProof/>
              </w:rPr>
              <w:t>7.2.1</w:t>
            </w:r>
            <w:r>
              <w:rPr>
                <w:rFonts w:asciiTheme="minorHAnsi" w:eastAsiaTheme="minorEastAsia" w:hAnsiTheme="minorHAnsi" w:cstheme="minorBidi"/>
                <w:noProof/>
                <w:shd w:val="clear" w:color="auto" w:fill="auto"/>
              </w:rPr>
              <w:tab/>
            </w:r>
            <w:r w:rsidRPr="006970E2">
              <w:rPr>
                <w:rStyle w:val="Hyperlink"/>
                <w:noProof/>
              </w:rPr>
              <w:t>Botulinum toxin A (Botox)</w:t>
            </w:r>
            <w:r>
              <w:rPr>
                <w:noProof/>
                <w:webHidden/>
              </w:rPr>
              <w:tab/>
            </w:r>
            <w:r>
              <w:rPr>
                <w:noProof/>
                <w:webHidden/>
              </w:rPr>
              <w:fldChar w:fldCharType="begin"/>
            </w:r>
            <w:r>
              <w:rPr>
                <w:noProof/>
                <w:webHidden/>
              </w:rPr>
              <w:instrText xml:space="preserve"> PAGEREF _Toc197682831 \h </w:instrText>
            </w:r>
            <w:r>
              <w:rPr>
                <w:noProof/>
                <w:webHidden/>
              </w:rPr>
            </w:r>
            <w:r>
              <w:rPr>
                <w:noProof/>
                <w:webHidden/>
              </w:rPr>
              <w:fldChar w:fldCharType="separate"/>
            </w:r>
            <w:r>
              <w:rPr>
                <w:noProof/>
                <w:webHidden/>
              </w:rPr>
              <w:t>8</w:t>
            </w:r>
            <w:r>
              <w:rPr>
                <w:noProof/>
                <w:webHidden/>
              </w:rPr>
              <w:fldChar w:fldCharType="end"/>
            </w:r>
          </w:hyperlink>
        </w:p>
        <w:p w14:paraId="5DD0F2B5" w14:textId="394A65FE" w:rsidR="00530E53" w:rsidRDefault="00530E53">
          <w:pPr>
            <w:pStyle w:val="TOC3"/>
            <w:tabs>
              <w:tab w:val="left" w:pos="1440"/>
              <w:tab w:val="right" w:leader="dot" w:pos="9016"/>
            </w:tabs>
            <w:rPr>
              <w:rFonts w:asciiTheme="minorHAnsi" w:eastAsiaTheme="minorEastAsia" w:hAnsiTheme="minorHAnsi" w:cstheme="minorBidi"/>
              <w:noProof/>
              <w:shd w:val="clear" w:color="auto" w:fill="auto"/>
            </w:rPr>
          </w:pPr>
          <w:hyperlink w:anchor="_Toc197682832" w:history="1">
            <w:r w:rsidRPr="006970E2">
              <w:rPr>
                <w:rStyle w:val="Hyperlink"/>
                <w:noProof/>
              </w:rPr>
              <w:t>7.2.2</w:t>
            </w:r>
            <w:r>
              <w:rPr>
                <w:rFonts w:asciiTheme="minorHAnsi" w:eastAsiaTheme="minorEastAsia" w:hAnsiTheme="minorHAnsi" w:cstheme="minorBidi"/>
                <w:noProof/>
                <w:shd w:val="clear" w:color="auto" w:fill="auto"/>
              </w:rPr>
              <w:tab/>
            </w:r>
            <w:r w:rsidRPr="006970E2">
              <w:rPr>
                <w:rStyle w:val="Hyperlink"/>
                <w:noProof/>
              </w:rPr>
              <w:t>Thread lifting</w:t>
            </w:r>
            <w:r>
              <w:rPr>
                <w:noProof/>
                <w:webHidden/>
              </w:rPr>
              <w:tab/>
            </w:r>
            <w:r>
              <w:rPr>
                <w:noProof/>
                <w:webHidden/>
              </w:rPr>
              <w:fldChar w:fldCharType="begin"/>
            </w:r>
            <w:r>
              <w:rPr>
                <w:noProof/>
                <w:webHidden/>
              </w:rPr>
              <w:instrText xml:space="preserve"> PAGEREF _Toc197682832 \h </w:instrText>
            </w:r>
            <w:r>
              <w:rPr>
                <w:noProof/>
                <w:webHidden/>
              </w:rPr>
            </w:r>
            <w:r>
              <w:rPr>
                <w:noProof/>
                <w:webHidden/>
              </w:rPr>
              <w:fldChar w:fldCharType="separate"/>
            </w:r>
            <w:r>
              <w:rPr>
                <w:noProof/>
                <w:webHidden/>
              </w:rPr>
              <w:t>8</w:t>
            </w:r>
            <w:r>
              <w:rPr>
                <w:noProof/>
                <w:webHidden/>
              </w:rPr>
              <w:fldChar w:fldCharType="end"/>
            </w:r>
          </w:hyperlink>
        </w:p>
        <w:p w14:paraId="33FBFF78" w14:textId="619AED29" w:rsidR="00530E53" w:rsidRDefault="00530E53">
          <w:pPr>
            <w:pStyle w:val="TOC3"/>
            <w:tabs>
              <w:tab w:val="left" w:pos="1440"/>
              <w:tab w:val="right" w:leader="dot" w:pos="9016"/>
            </w:tabs>
            <w:rPr>
              <w:rFonts w:asciiTheme="minorHAnsi" w:eastAsiaTheme="minorEastAsia" w:hAnsiTheme="minorHAnsi" w:cstheme="minorBidi"/>
              <w:noProof/>
              <w:shd w:val="clear" w:color="auto" w:fill="auto"/>
            </w:rPr>
          </w:pPr>
          <w:hyperlink w:anchor="_Toc197682833" w:history="1">
            <w:r w:rsidRPr="006970E2">
              <w:rPr>
                <w:rStyle w:val="Hyperlink"/>
                <w:noProof/>
              </w:rPr>
              <w:t>7.2.3</w:t>
            </w:r>
            <w:r>
              <w:rPr>
                <w:rFonts w:asciiTheme="minorHAnsi" w:eastAsiaTheme="minorEastAsia" w:hAnsiTheme="minorHAnsi" w:cstheme="minorBidi"/>
                <w:noProof/>
                <w:shd w:val="clear" w:color="auto" w:fill="auto"/>
              </w:rPr>
              <w:tab/>
            </w:r>
            <w:r w:rsidRPr="006970E2">
              <w:rPr>
                <w:rStyle w:val="Hyperlink"/>
                <w:noProof/>
              </w:rPr>
              <w:t>Ultrasound therapy</w:t>
            </w:r>
            <w:r>
              <w:rPr>
                <w:noProof/>
                <w:webHidden/>
              </w:rPr>
              <w:tab/>
            </w:r>
            <w:r>
              <w:rPr>
                <w:noProof/>
                <w:webHidden/>
              </w:rPr>
              <w:fldChar w:fldCharType="begin"/>
            </w:r>
            <w:r>
              <w:rPr>
                <w:noProof/>
                <w:webHidden/>
              </w:rPr>
              <w:instrText xml:space="preserve"> PAGEREF _Toc197682833 \h </w:instrText>
            </w:r>
            <w:r>
              <w:rPr>
                <w:noProof/>
                <w:webHidden/>
              </w:rPr>
            </w:r>
            <w:r>
              <w:rPr>
                <w:noProof/>
                <w:webHidden/>
              </w:rPr>
              <w:fldChar w:fldCharType="separate"/>
            </w:r>
            <w:r>
              <w:rPr>
                <w:noProof/>
                <w:webHidden/>
              </w:rPr>
              <w:t>8</w:t>
            </w:r>
            <w:r>
              <w:rPr>
                <w:noProof/>
                <w:webHidden/>
              </w:rPr>
              <w:fldChar w:fldCharType="end"/>
            </w:r>
          </w:hyperlink>
        </w:p>
        <w:p w14:paraId="65845FC8" w14:textId="767E9189" w:rsidR="00530E53" w:rsidRDefault="00530E53">
          <w:pPr>
            <w:pStyle w:val="TOC3"/>
            <w:tabs>
              <w:tab w:val="left" w:pos="1440"/>
              <w:tab w:val="right" w:leader="dot" w:pos="9016"/>
            </w:tabs>
            <w:rPr>
              <w:rFonts w:asciiTheme="minorHAnsi" w:eastAsiaTheme="minorEastAsia" w:hAnsiTheme="minorHAnsi" w:cstheme="minorBidi"/>
              <w:noProof/>
              <w:shd w:val="clear" w:color="auto" w:fill="auto"/>
            </w:rPr>
          </w:pPr>
          <w:hyperlink w:anchor="_Toc197682834" w:history="1">
            <w:r w:rsidRPr="006970E2">
              <w:rPr>
                <w:rStyle w:val="Hyperlink"/>
                <w:noProof/>
              </w:rPr>
              <w:t>7.2.4</w:t>
            </w:r>
            <w:r>
              <w:rPr>
                <w:rFonts w:asciiTheme="minorHAnsi" w:eastAsiaTheme="minorEastAsia" w:hAnsiTheme="minorHAnsi" w:cstheme="minorBidi"/>
                <w:noProof/>
                <w:shd w:val="clear" w:color="auto" w:fill="auto"/>
              </w:rPr>
              <w:tab/>
            </w:r>
            <w:r w:rsidRPr="006970E2">
              <w:rPr>
                <w:rStyle w:val="Hyperlink"/>
                <w:noProof/>
              </w:rPr>
              <w:t>Endo-lift laser</w:t>
            </w:r>
            <w:r>
              <w:rPr>
                <w:noProof/>
                <w:webHidden/>
              </w:rPr>
              <w:tab/>
            </w:r>
            <w:r>
              <w:rPr>
                <w:noProof/>
                <w:webHidden/>
              </w:rPr>
              <w:fldChar w:fldCharType="begin"/>
            </w:r>
            <w:r>
              <w:rPr>
                <w:noProof/>
                <w:webHidden/>
              </w:rPr>
              <w:instrText xml:space="preserve"> PAGEREF _Toc197682834 \h </w:instrText>
            </w:r>
            <w:r>
              <w:rPr>
                <w:noProof/>
                <w:webHidden/>
              </w:rPr>
            </w:r>
            <w:r>
              <w:rPr>
                <w:noProof/>
                <w:webHidden/>
              </w:rPr>
              <w:fldChar w:fldCharType="separate"/>
            </w:r>
            <w:r>
              <w:rPr>
                <w:noProof/>
                <w:webHidden/>
              </w:rPr>
              <w:t>9</w:t>
            </w:r>
            <w:r>
              <w:rPr>
                <w:noProof/>
                <w:webHidden/>
              </w:rPr>
              <w:fldChar w:fldCharType="end"/>
            </w:r>
          </w:hyperlink>
        </w:p>
        <w:p w14:paraId="225B568C" w14:textId="39FB1A82"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35" w:history="1">
            <w:r w:rsidRPr="006970E2">
              <w:rPr>
                <w:rStyle w:val="Hyperlink"/>
                <w:noProof/>
              </w:rPr>
              <w:t>8</w:t>
            </w:r>
            <w:r>
              <w:rPr>
                <w:rFonts w:asciiTheme="minorHAnsi" w:eastAsiaTheme="minorEastAsia" w:hAnsiTheme="minorHAnsi" w:cstheme="minorBidi"/>
                <w:noProof/>
                <w:shd w:val="clear" w:color="auto" w:fill="auto"/>
              </w:rPr>
              <w:tab/>
            </w:r>
            <w:r w:rsidRPr="006970E2">
              <w:rPr>
                <w:rStyle w:val="Hyperlink"/>
                <w:noProof/>
              </w:rPr>
              <w:t>References</w:t>
            </w:r>
            <w:r>
              <w:rPr>
                <w:noProof/>
                <w:webHidden/>
              </w:rPr>
              <w:tab/>
            </w:r>
            <w:r>
              <w:rPr>
                <w:noProof/>
                <w:webHidden/>
              </w:rPr>
              <w:fldChar w:fldCharType="begin"/>
            </w:r>
            <w:r>
              <w:rPr>
                <w:noProof/>
                <w:webHidden/>
              </w:rPr>
              <w:instrText xml:space="preserve"> PAGEREF _Toc197682835 \h </w:instrText>
            </w:r>
            <w:r>
              <w:rPr>
                <w:noProof/>
                <w:webHidden/>
              </w:rPr>
            </w:r>
            <w:r>
              <w:rPr>
                <w:noProof/>
                <w:webHidden/>
              </w:rPr>
              <w:fldChar w:fldCharType="separate"/>
            </w:r>
            <w:r>
              <w:rPr>
                <w:noProof/>
                <w:webHidden/>
              </w:rPr>
              <w:t>10</w:t>
            </w:r>
            <w:r>
              <w:rPr>
                <w:noProof/>
                <w:webHidden/>
              </w:rPr>
              <w:fldChar w:fldCharType="end"/>
            </w:r>
          </w:hyperlink>
        </w:p>
        <w:p w14:paraId="2513F900" w14:textId="450B0F08" w:rsidR="00530E53" w:rsidRDefault="00530E53">
          <w:pPr>
            <w:pStyle w:val="TOC1"/>
            <w:tabs>
              <w:tab w:val="left" w:pos="480"/>
              <w:tab w:val="right" w:leader="dot" w:pos="9016"/>
            </w:tabs>
            <w:rPr>
              <w:rFonts w:asciiTheme="minorHAnsi" w:eastAsiaTheme="minorEastAsia" w:hAnsiTheme="minorHAnsi" w:cstheme="minorBidi"/>
              <w:noProof/>
              <w:shd w:val="clear" w:color="auto" w:fill="auto"/>
            </w:rPr>
          </w:pPr>
          <w:hyperlink w:anchor="_Toc197682836" w:history="1">
            <w:r w:rsidRPr="006970E2">
              <w:rPr>
                <w:rStyle w:val="Hyperlink"/>
                <w:noProof/>
              </w:rPr>
              <w:t>9</w:t>
            </w:r>
            <w:r>
              <w:rPr>
                <w:rFonts w:asciiTheme="minorHAnsi" w:eastAsiaTheme="minorEastAsia" w:hAnsiTheme="minorHAnsi" w:cstheme="minorBidi"/>
                <w:noProof/>
                <w:shd w:val="clear" w:color="auto" w:fill="auto"/>
              </w:rPr>
              <w:tab/>
            </w:r>
            <w:r w:rsidRPr="006970E2">
              <w:rPr>
                <w:rStyle w:val="Hyperlink"/>
                <w:noProof/>
              </w:rPr>
              <w:t>Appendices</w:t>
            </w:r>
            <w:r>
              <w:rPr>
                <w:noProof/>
                <w:webHidden/>
              </w:rPr>
              <w:tab/>
            </w:r>
            <w:r>
              <w:rPr>
                <w:noProof/>
                <w:webHidden/>
              </w:rPr>
              <w:fldChar w:fldCharType="begin"/>
            </w:r>
            <w:r>
              <w:rPr>
                <w:noProof/>
                <w:webHidden/>
              </w:rPr>
              <w:instrText xml:space="preserve"> PAGEREF _Toc197682836 \h </w:instrText>
            </w:r>
            <w:r>
              <w:rPr>
                <w:noProof/>
                <w:webHidden/>
              </w:rPr>
            </w:r>
            <w:r>
              <w:rPr>
                <w:noProof/>
                <w:webHidden/>
              </w:rPr>
              <w:fldChar w:fldCharType="separate"/>
            </w:r>
            <w:r>
              <w:rPr>
                <w:noProof/>
                <w:webHidden/>
              </w:rPr>
              <w:t>13</w:t>
            </w:r>
            <w:r>
              <w:rPr>
                <w:noProof/>
                <w:webHidden/>
              </w:rPr>
              <w:fldChar w:fldCharType="end"/>
            </w:r>
          </w:hyperlink>
        </w:p>
        <w:p w14:paraId="0A443B10" w14:textId="7D468348" w:rsidR="00530E53" w:rsidRDefault="00530E53">
          <w:pPr>
            <w:pStyle w:val="TOC2"/>
            <w:tabs>
              <w:tab w:val="right" w:leader="dot" w:pos="9016"/>
            </w:tabs>
            <w:rPr>
              <w:rFonts w:asciiTheme="minorHAnsi" w:eastAsiaTheme="minorEastAsia" w:hAnsiTheme="minorHAnsi" w:cstheme="minorBidi"/>
              <w:noProof/>
              <w:shd w:val="clear" w:color="auto" w:fill="auto"/>
            </w:rPr>
          </w:pPr>
          <w:hyperlink w:anchor="_Toc197682837" w:history="1">
            <w:r w:rsidRPr="006970E2">
              <w:rPr>
                <w:rStyle w:val="Hyperlink"/>
                <w:noProof/>
              </w:rPr>
              <w:t>Appendix 1–Searching and screening method</w:t>
            </w:r>
            <w:r>
              <w:rPr>
                <w:noProof/>
                <w:webHidden/>
              </w:rPr>
              <w:tab/>
            </w:r>
            <w:r>
              <w:rPr>
                <w:noProof/>
                <w:webHidden/>
              </w:rPr>
              <w:fldChar w:fldCharType="begin"/>
            </w:r>
            <w:r>
              <w:rPr>
                <w:noProof/>
                <w:webHidden/>
              </w:rPr>
              <w:instrText xml:space="preserve"> PAGEREF _Toc197682837 \h </w:instrText>
            </w:r>
            <w:r>
              <w:rPr>
                <w:noProof/>
                <w:webHidden/>
              </w:rPr>
            </w:r>
            <w:r>
              <w:rPr>
                <w:noProof/>
                <w:webHidden/>
              </w:rPr>
              <w:fldChar w:fldCharType="separate"/>
            </w:r>
            <w:r>
              <w:rPr>
                <w:noProof/>
                <w:webHidden/>
              </w:rPr>
              <w:t>13</w:t>
            </w:r>
            <w:r>
              <w:rPr>
                <w:noProof/>
                <w:webHidden/>
              </w:rPr>
              <w:fldChar w:fldCharType="end"/>
            </w:r>
          </w:hyperlink>
        </w:p>
        <w:p w14:paraId="769A81EB" w14:textId="06207D33" w:rsidR="00530E53" w:rsidRDefault="00530E53">
          <w:pPr>
            <w:pStyle w:val="TOC2"/>
            <w:tabs>
              <w:tab w:val="right" w:leader="dot" w:pos="9016"/>
            </w:tabs>
            <w:rPr>
              <w:rFonts w:asciiTheme="minorHAnsi" w:eastAsiaTheme="minorEastAsia" w:hAnsiTheme="minorHAnsi" w:cstheme="minorBidi"/>
              <w:noProof/>
              <w:shd w:val="clear" w:color="auto" w:fill="auto"/>
            </w:rPr>
          </w:pPr>
          <w:hyperlink w:anchor="_Toc197682838" w:history="1">
            <w:r w:rsidRPr="006970E2">
              <w:rPr>
                <w:rStyle w:val="Hyperlink"/>
                <w:noProof/>
              </w:rPr>
              <w:t>Appendix 2–Search strategy</w:t>
            </w:r>
            <w:r>
              <w:rPr>
                <w:noProof/>
                <w:webHidden/>
              </w:rPr>
              <w:tab/>
            </w:r>
            <w:r>
              <w:rPr>
                <w:noProof/>
                <w:webHidden/>
              </w:rPr>
              <w:fldChar w:fldCharType="begin"/>
            </w:r>
            <w:r>
              <w:rPr>
                <w:noProof/>
                <w:webHidden/>
              </w:rPr>
              <w:instrText xml:space="preserve"> PAGEREF _Toc197682838 \h </w:instrText>
            </w:r>
            <w:r>
              <w:rPr>
                <w:noProof/>
                <w:webHidden/>
              </w:rPr>
            </w:r>
            <w:r>
              <w:rPr>
                <w:noProof/>
                <w:webHidden/>
              </w:rPr>
              <w:fldChar w:fldCharType="separate"/>
            </w:r>
            <w:r>
              <w:rPr>
                <w:noProof/>
                <w:webHidden/>
              </w:rPr>
              <w:t>13</w:t>
            </w:r>
            <w:r>
              <w:rPr>
                <w:noProof/>
                <w:webHidden/>
              </w:rPr>
              <w:fldChar w:fldCharType="end"/>
            </w:r>
          </w:hyperlink>
        </w:p>
        <w:p w14:paraId="25060BC4" w14:textId="2076FB8D"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B37DAA">
      <w:pPr>
        <w:pStyle w:val="Heading1"/>
      </w:pPr>
      <w:bookmarkStart w:id="0" w:name="_Toc197682819"/>
      <w:r w:rsidRPr="00EB620C">
        <w:lastRenderedPageBreak/>
        <w:t>Title</w:t>
      </w:r>
      <w:bookmarkEnd w:id="0"/>
    </w:p>
    <w:p w14:paraId="3F209392" w14:textId="0C610343" w:rsidR="003E1514" w:rsidRPr="001636EF" w:rsidRDefault="00F26B73" w:rsidP="00B15943">
      <w:r>
        <w:t xml:space="preserve">Aesthetic facial surgery: </w:t>
      </w:r>
      <w:r w:rsidR="003E1514" w:rsidRPr="001636EF">
        <w:t>evidence base to underpin Exceptional Referral Protocol</w:t>
      </w:r>
      <w:r w:rsidR="00324CBB" w:rsidRPr="001636EF">
        <w:t>.</w:t>
      </w:r>
    </w:p>
    <w:p w14:paraId="749D59FE" w14:textId="2AA39C24" w:rsidR="003E1514" w:rsidRPr="001636EF" w:rsidRDefault="00665F36" w:rsidP="00B37DAA">
      <w:pPr>
        <w:pStyle w:val="Heading1"/>
      </w:pPr>
      <w:bookmarkStart w:id="1" w:name="_Toc197682820"/>
      <w:bookmarkStart w:id="2" w:name="_Toc182494402"/>
      <w:bookmarkStart w:id="3" w:name="_Toc182801996"/>
      <w:r w:rsidRPr="001636EF">
        <w:t>Questions</w:t>
      </w:r>
      <w:bookmarkEnd w:id="1"/>
    </w:p>
    <w:p w14:paraId="690D3651" w14:textId="5F9DFC2A"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6AC911DE"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EBF6377"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B37DAA">
      <w:pPr>
        <w:pStyle w:val="Heading1"/>
      </w:pPr>
      <w:bookmarkStart w:id="4" w:name="_Toc197682821"/>
      <w:r w:rsidRPr="001636EF">
        <w:t>Method</w:t>
      </w:r>
      <w:r w:rsidR="005730D2" w:rsidRPr="001636EF">
        <w:t xml:space="preserve"> and </w:t>
      </w:r>
      <w:r w:rsidRPr="001636EF">
        <w:t>approach</w:t>
      </w:r>
      <w:bookmarkEnd w:id="2"/>
      <w:bookmarkEnd w:id="3"/>
      <w:bookmarkEnd w:id="4"/>
    </w:p>
    <w:p w14:paraId="1BCD62DF" w14:textId="157681DB"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E95C60">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Pr="001636EF" w:rsidRDefault="00AE7B08" w:rsidP="00B37DAA">
      <w:pPr>
        <w:pStyle w:val="Heading1"/>
      </w:pPr>
      <w:bookmarkStart w:id="5" w:name="_Toc197682822"/>
      <w:r w:rsidRPr="001636EF">
        <w:t>Referral criteria</w:t>
      </w:r>
      <w:bookmarkEnd w:id="5"/>
    </w:p>
    <w:p w14:paraId="58C02D49" w14:textId="67B1822B" w:rsidR="00490475" w:rsidRDefault="00490475" w:rsidP="00490475">
      <w:r w:rsidRPr="00E118A3">
        <w:t>Working with the British Association of Plastic, Reconstructive and Aesthetic Surgeons</w:t>
      </w:r>
      <w:r>
        <w:t xml:space="preserve"> </w:t>
      </w:r>
      <w:r w:rsidRPr="00E118A3">
        <w:t>(BAPRAS), in 2006, the NHS Modernisation Agency issued documentation about the provision of plastic surgery services across the UK</w:t>
      </w:r>
      <w:r>
        <w:t>.</w:t>
      </w:r>
      <w:r w:rsidRPr="00E118A3">
        <w:rPr>
          <w:vertAlign w:val="superscript"/>
        </w:rPr>
        <w:t>1</w:t>
      </w:r>
      <w:r w:rsidRPr="00E118A3">
        <w:t xml:space="preserve"> In the section on facial procedures</w:t>
      </w:r>
      <w:r w:rsidR="0075106D">
        <w:t>,</w:t>
      </w:r>
      <w:r w:rsidRPr="00E118A3">
        <w:t xml:space="preserve"> they state that face lift and brow lift (rhytidectomy) procedures will not be available to treat the natural processes of ageing and will only be considered for:</w:t>
      </w:r>
    </w:p>
    <w:p w14:paraId="5F9628D4" w14:textId="77777777" w:rsidR="00490475" w:rsidRPr="00D12A42" w:rsidRDefault="00490475" w:rsidP="00D12A42">
      <w:pPr>
        <w:pStyle w:val="ListParagraph"/>
      </w:pPr>
      <w:r w:rsidRPr="00D12A42">
        <w:t>congenital facial abnormalities</w:t>
      </w:r>
    </w:p>
    <w:p w14:paraId="1EA928A8" w14:textId="4F57A2C6" w:rsidR="00490475" w:rsidRPr="00D12A42" w:rsidRDefault="00490475" w:rsidP="00D12A42">
      <w:pPr>
        <w:pStyle w:val="ListParagraph"/>
      </w:pPr>
      <w:r w:rsidRPr="00D12A42">
        <w:t>facial palsy (congenital or acquired paralysis)</w:t>
      </w:r>
    </w:p>
    <w:p w14:paraId="5A896E20" w14:textId="7961791B" w:rsidR="00490475" w:rsidRPr="00D12A42" w:rsidRDefault="00490475" w:rsidP="00D12A42">
      <w:pPr>
        <w:pStyle w:val="ListParagraph"/>
      </w:pPr>
      <w:r w:rsidRPr="00D12A42">
        <w:t>as part of the treatment of specific conditions affecting the facial skin</w:t>
      </w:r>
      <w:r w:rsidR="0075106D">
        <w:t>,</w:t>
      </w:r>
      <w:r w:rsidRPr="00D12A42">
        <w:t xml:space="preserve"> for example, cutis laxa, pseudoxanthoma elasticum, neurofibromatosis</w:t>
      </w:r>
    </w:p>
    <w:p w14:paraId="6552AB32" w14:textId="1C17F7F7" w:rsidR="00490475" w:rsidRPr="00D12A42" w:rsidRDefault="00F36742" w:rsidP="00D12A42">
      <w:pPr>
        <w:pStyle w:val="ListParagraph"/>
      </w:pPr>
      <w:r w:rsidRPr="00D12A42">
        <w:t>correcting</w:t>
      </w:r>
      <w:r w:rsidR="00490475" w:rsidRPr="00D12A42">
        <w:t xml:space="preserve"> the consequences of trauma</w:t>
      </w:r>
    </w:p>
    <w:p w14:paraId="2F7E9ABF" w14:textId="50936ECA" w:rsidR="00490475" w:rsidRPr="004D75F7" w:rsidRDefault="00F36742" w:rsidP="00D12A42">
      <w:pPr>
        <w:pStyle w:val="ListParagraph"/>
      </w:pPr>
      <w:r w:rsidRPr="00D12A42">
        <w:t>correcting</w:t>
      </w:r>
      <w:r w:rsidRPr="00A8211A">
        <w:t xml:space="preserve"> </w:t>
      </w:r>
      <w:r w:rsidR="00490475" w:rsidRPr="00A8211A">
        <w:t>deformity following</w:t>
      </w:r>
      <w:r w:rsidR="00490475" w:rsidRPr="004D75F7">
        <w:t xml:space="preserve"> surgery.</w:t>
      </w:r>
    </w:p>
    <w:p w14:paraId="27035559" w14:textId="72872D9A" w:rsidR="00490475" w:rsidRPr="00E118A3" w:rsidRDefault="00490475" w:rsidP="00D12A42">
      <w:r w:rsidRPr="00E118A3">
        <w:lastRenderedPageBreak/>
        <w:t>Following this, commissioning guidelines for individual NHS Trusts in England typically state that these procedures are usually considered cosmetic. For example, NHS Bristol, North Somerset and South Gloucestershire Integrated Care Board 2021 state</w:t>
      </w:r>
      <w:r w:rsidR="0075106D">
        <w:t>s</w:t>
      </w:r>
      <w:r w:rsidRPr="00E118A3">
        <w:t xml:space="preserve"> that facial surgery and treatments for cosmetic purposes are not routinely commissioned.</w:t>
      </w:r>
      <w:r w:rsidRPr="00E118A3">
        <w:rPr>
          <w:vertAlign w:val="superscript"/>
        </w:rPr>
        <w:t>2</w:t>
      </w:r>
    </w:p>
    <w:p w14:paraId="45EE0781" w14:textId="422768EE" w:rsidR="00490475" w:rsidRPr="00E118A3" w:rsidRDefault="00490475" w:rsidP="00D12A42">
      <w:r w:rsidRPr="00E118A3">
        <w:t xml:space="preserve">They also note that </w:t>
      </w:r>
      <w:r w:rsidR="002252B1">
        <w:t>individuals</w:t>
      </w:r>
      <w:r w:rsidRPr="00E118A3">
        <w:t xml:space="preserve"> who are unhappy with their appearance to an extent that they could be said to be suffering from body dysmorphia may wish to be considered for a referral to commissioned mental health services to support them in managing their underlying condition. Surgery is not commissioned to manage body dysmorphia.</w:t>
      </w:r>
    </w:p>
    <w:p w14:paraId="57A2C757" w14:textId="7E605D3C" w:rsidR="00490475" w:rsidRPr="00E118A3" w:rsidRDefault="00490475" w:rsidP="00D12A42">
      <w:pPr>
        <w:rPr>
          <w:rFonts w:eastAsia="Times New Roman"/>
          <w:kern w:val="0"/>
          <w14:ligatures w14:val="none"/>
        </w:rPr>
      </w:pPr>
      <w:r w:rsidRPr="00E118A3">
        <w:rPr>
          <w:rFonts w:eastAsia="Times New Roman"/>
          <w:kern w:val="0"/>
          <w14:ligatures w14:val="none"/>
        </w:rPr>
        <w:t xml:space="preserve">A similar example is the commissioning statement from North Yorkshire </w:t>
      </w:r>
      <w:r>
        <w:rPr>
          <w:rFonts w:eastAsia="Times New Roman"/>
          <w:kern w:val="0"/>
          <w14:ligatures w14:val="none"/>
        </w:rPr>
        <w:t>Clinical Commissioning Group (</w:t>
      </w:r>
      <w:r w:rsidRPr="00E118A3">
        <w:rPr>
          <w:rFonts w:eastAsia="Times New Roman"/>
          <w:kern w:val="0"/>
          <w14:ligatures w14:val="none"/>
        </w:rPr>
        <w:t>CCG</w:t>
      </w:r>
      <w:r>
        <w:rPr>
          <w:rFonts w:eastAsia="Times New Roman"/>
          <w:kern w:val="0"/>
          <w14:ligatures w14:val="none"/>
        </w:rPr>
        <w:t>)</w:t>
      </w:r>
      <w:r w:rsidRPr="00E118A3">
        <w:rPr>
          <w:rFonts w:eastAsia="Times New Roman"/>
          <w:kern w:val="0"/>
          <w14:ligatures w14:val="none"/>
        </w:rPr>
        <w:t xml:space="preserve"> in 2021.</w:t>
      </w:r>
      <w:r w:rsidRPr="00E118A3">
        <w:rPr>
          <w:rFonts w:eastAsia="Times New Roman"/>
          <w:kern w:val="0"/>
          <w:vertAlign w:val="superscript"/>
          <w14:ligatures w14:val="none"/>
        </w:rPr>
        <w:t>3</w:t>
      </w:r>
      <w:r w:rsidRPr="00E118A3">
        <w:rPr>
          <w:rFonts w:eastAsia="Times New Roman"/>
          <w:kern w:val="0"/>
          <w14:ligatures w14:val="none"/>
        </w:rPr>
        <w:t xml:space="preserve"> It states that cosmetic surgical procedures for the correction of changes associated with age, pregnancy, weight or because of unhappiness with body image are of low priority and will not be routinely commissioned. A significant degree of exceptionality must be demonstrated before funding can be considered outside of these policies. Specifically, psychological factors are not routinely taken into consideration </w:t>
      </w:r>
      <w:r w:rsidR="004E7C92">
        <w:rPr>
          <w:rFonts w:eastAsia="Times New Roman"/>
          <w:kern w:val="0"/>
          <w14:ligatures w14:val="none"/>
        </w:rPr>
        <w:t>when</w:t>
      </w:r>
      <w:r w:rsidR="004E7C92" w:rsidRPr="00E118A3">
        <w:rPr>
          <w:rFonts w:eastAsia="Times New Roman"/>
          <w:kern w:val="0"/>
          <w14:ligatures w14:val="none"/>
        </w:rPr>
        <w:t xml:space="preserve"> </w:t>
      </w:r>
      <w:r w:rsidRPr="00E118A3">
        <w:rPr>
          <w:rFonts w:eastAsia="Times New Roman"/>
          <w:kern w:val="0"/>
          <w14:ligatures w14:val="none"/>
        </w:rPr>
        <w:t>determining NHS funding.</w:t>
      </w:r>
    </w:p>
    <w:p w14:paraId="050C8106" w14:textId="0EA1A0E0" w:rsidR="00490475" w:rsidRPr="00E118A3" w:rsidRDefault="00490475" w:rsidP="00D12A42">
      <w:pPr>
        <w:rPr>
          <w:rFonts w:eastAsia="Times New Roman"/>
          <w:kern w:val="0"/>
          <w14:ligatures w14:val="none"/>
        </w:rPr>
      </w:pPr>
      <w:r w:rsidRPr="00E118A3">
        <w:rPr>
          <w:rFonts w:eastAsia="Times New Roman"/>
          <w:kern w:val="0"/>
          <w14:ligatures w14:val="none"/>
        </w:rPr>
        <w:t>North Yorkshire CCG also advises that clinicians consider the possibility of psychological problems</w:t>
      </w:r>
      <w:r w:rsidR="004E7C92">
        <w:rPr>
          <w:rFonts w:eastAsia="Times New Roman"/>
          <w:kern w:val="0"/>
          <w14:ligatures w14:val="none"/>
        </w:rPr>
        <w:t>,</w:t>
      </w:r>
      <w:r w:rsidRPr="00E118A3">
        <w:rPr>
          <w:rFonts w:eastAsia="Times New Roman"/>
          <w:kern w:val="0"/>
          <w14:ligatures w14:val="none"/>
        </w:rPr>
        <w:t xml:space="preserve"> including </w:t>
      </w:r>
      <w:r>
        <w:rPr>
          <w:rFonts w:eastAsia="Times New Roman"/>
          <w:kern w:val="0"/>
          <w14:ligatures w14:val="none"/>
        </w:rPr>
        <w:t>b</w:t>
      </w:r>
      <w:r w:rsidRPr="00E118A3">
        <w:rPr>
          <w:rFonts w:eastAsia="Times New Roman"/>
          <w:kern w:val="0"/>
          <w14:ligatures w14:val="none"/>
        </w:rPr>
        <w:t xml:space="preserve">ody </w:t>
      </w:r>
      <w:r>
        <w:rPr>
          <w:rFonts w:eastAsia="Times New Roman"/>
          <w:kern w:val="0"/>
          <w14:ligatures w14:val="none"/>
        </w:rPr>
        <w:t>d</w:t>
      </w:r>
      <w:r w:rsidRPr="00E118A3">
        <w:rPr>
          <w:rFonts w:eastAsia="Times New Roman"/>
          <w:kern w:val="0"/>
          <w14:ligatures w14:val="none"/>
        </w:rPr>
        <w:t xml:space="preserve">ysmorphic </w:t>
      </w:r>
      <w:r>
        <w:rPr>
          <w:rFonts w:eastAsia="Times New Roman"/>
          <w:kern w:val="0"/>
          <w14:ligatures w14:val="none"/>
        </w:rPr>
        <w:t>s</w:t>
      </w:r>
      <w:r w:rsidRPr="00E118A3">
        <w:rPr>
          <w:rFonts w:eastAsia="Times New Roman"/>
          <w:kern w:val="0"/>
          <w14:ligatures w14:val="none"/>
        </w:rPr>
        <w:t xml:space="preserve">yndrome. They recommend using </w:t>
      </w:r>
      <w:r w:rsidR="003A1933">
        <w:rPr>
          <w:rFonts w:eastAsia="Times New Roman"/>
          <w:kern w:val="0"/>
          <w14:ligatures w14:val="none"/>
        </w:rPr>
        <w:t>the National Institute of Health and Care Excellence (</w:t>
      </w:r>
      <w:r w:rsidRPr="00E118A3">
        <w:rPr>
          <w:rFonts w:eastAsia="Times New Roman"/>
          <w:kern w:val="0"/>
          <w14:ligatures w14:val="none"/>
        </w:rPr>
        <w:t>NICE</w:t>
      </w:r>
      <w:r w:rsidR="003A1933">
        <w:rPr>
          <w:rFonts w:eastAsia="Times New Roman"/>
          <w:kern w:val="0"/>
          <w14:ligatures w14:val="none"/>
        </w:rPr>
        <w:t>)</w:t>
      </w:r>
      <w:r w:rsidRPr="00E118A3">
        <w:rPr>
          <w:rFonts w:eastAsia="Times New Roman"/>
          <w:kern w:val="0"/>
          <w14:ligatures w14:val="none"/>
        </w:rPr>
        <w:t xml:space="preserve"> Guidance </w:t>
      </w:r>
      <w:r w:rsidRPr="00E118A3">
        <w:t>CG31</w:t>
      </w:r>
      <w:r w:rsidRPr="00E118A3">
        <w:rPr>
          <w:rFonts w:eastAsia="Times New Roman"/>
          <w:kern w:val="0"/>
          <w14:ligatures w14:val="none"/>
        </w:rPr>
        <w:t xml:space="preserve"> (2005)</w:t>
      </w:r>
      <w:r w:rsidR="34F2F194" w:rsidRPr="3143CCF0">
        <w:rPr>
          <w:rFonts w:eastAsia="Times New Roman"/>
          <w:kern w:val="0"/>
          <w:vertAlign w:val="superscript"/>
          <w14:ligatures w14:val="none"/>
        </w:rPr>
        <w:t>4</w:t>
      </w:r>
      <w:r w:rsidRPr="00A24A06">
        <w:rPr>
          <w:rFonts w:eastAsia="Times New Roman"/>
          <w:kern w:val="0"/>
          <w14:ligatures w14:val="none"/>
        </w:rPr>
        <w:t xml:space="preserve"> on treatment of o</w:t>
      </w:r>
      <w:r w:rsidRPr="00E118A3">
        <w:rPr>
          <w:rFonts w:eastAsia="Times New Roman"/>
          <w:kern w:val="0"/>
          <w14:ligatures w14:val="none"/>
        </w:rPr>
        <w:t>bsessive-compulsive disorder and body dysmorphic disorder during assessment and management before considering any referral for plastic surgery.</w:t>
      </w:r>
    </w:p>
    <w:p w14:paraId="7E44DB2C" w14:textId="15BA207D" w:rsidR="005C13E1" w:rsidRDefault="005C13E1" w:rsidP="00B37DAA">
      <w:pPr>
        <w:pStyle w:val="Heading1"/>
      </w:pPr>
      <w:bookmarkStart w:id="6" w:name="_Toc197682823"/>
      <w:r w:rsidRPr="001636EF">
        <w:t>Benefits</w:t>
      </w:r>
      <w:bookmarkEnd w:id="6"/>
    </w:p>
    <w:p w14:paraId="09595B82" w14:textId="51E5CD38" w:rsidR="00160417" w:rsidRDefault="0055508C" w:rsidP="00160417">
      <w:r w:rsidRPr="00E118A3">
        <w:t xml:space="preserve">Karimi </w:t>
      </w:r>
      <w:r w:rsidR="0063790A" w:rsidRPr="0063790A">
        <w:t>et al.</w:t>
      </w:r>
      <w:r w:rsidRPr="00E118A3">
        <w:t xml:space="preserve"> explored techniques of eyebrow lifting in a narrative review in 2020</w:t>
      </w:r>
      <w:r>
        <w:t>.</w:t>
      </w:r>
      <w:r w:rsidR="67F2DEF9" w:rsidRPr="3143CCF0">
        <w:rPr>
          <w:vertAlign w:val="superscript"/>
        </w:rPr>
        <w:t>5</w:t>
      </w:r>
      <w:r w:rsidRPr="3143CCF0">
        <w:rPr>
          <w:vertAlign w:val="superscript"/>
        </w:rPr>
        <w:t xml:space="preserve"> </w:t>
      </w:r>
      <w:r w:rsidRPr="00E118A3">
        <w:t xml:space="preserve">They report that </w:t>
      </w:r>
      <w:r>
        <w:t xml:space="preserve">a </w:t>
      </w:r>
      <w:r w:rsidRPr="00E118A3">
        <w:t>direct brow lift is particularly useful in patients with facial palsy and those who are more likely to be accepting of the scar, for example, male gender and people with a high forehead hairline.</w:t>
      </w:r>
    </w:p>
    <w:p w14:paraId="31081196" w14:textId="2A03C0A6" w:rsidR="0055508C" w:rsidRPr="00E118A3" w:rsidRDefault="0055508C" w:rsidP="00160417">
      <w:r w:rsidRPr="00E118A3">
        <w:t xml:space="preserve">Hijkoop </w:t>
      </w:r>
      <w:r w:rsidR="0063790A" w:rsidRPr="0063790A">
        <w:t>et al.</w:t>
      </w:r>
      <w:r w:rsidRPr="00E118A3">
        <w:t xml:space="preserve"> (2022) report a relatively low complication rate and evident patient and surgeon satisfaction in their systematic review of 18 years of literature on the minimal access cranial suspension lift.</w:t>
      </w:r>
      <w:r w:rsidR="32A2DBB8" w:rsidRPr="3143CCF0">
        <w:rPr>
          <w:vertAlign w:val="superscript"/>
        </w:rPr>
        <w:t>6</w:t>
      </w:r>
    </w:p>
    <w:p w14:paraId="5566BB2C" w14:textId="0102E08B" w:rsidR="0055508C" w:rsidRPr="00E118A3" w:rsidRDefault="0055508C" w:rsidP="00160417">
      <w:r w:rsidRPr="00E118A3">
        <w:t xml:space="preserve">In a bibliometric analysis of the highest cited rhytidectomy literature, </w:t>
      </w:r>
      <w:r w:rsidRPr="00674DCA">
        <w:t>Dutt et al</w:t>
      </w:r>
      <w:r w:rsidR="00674DCA">
        <w:t>.</w:t>
      </w:r>
      <w:r w:rsidRPr="00674DCA">
        <w:t xml:space="preserve"> (2023</w:t>
      </w:r>
      <w:r w:rsidRPr="00E118A3">
        <w:t>) discuss FACE-Q, the first validated patient</w:t>
      </w:r>
      <w:r w:rsidR="00617FA8">
        <w:t>-</w:t>
      </w:r>
      <w:r w:rsidRPr="00E118A3">
        <w:t>reported outcome measure (PROM) designed to measure a range of important outcomes for facial aesthetic surgery patients.</w:t>
      </w:r>
      <w:r w:rsidR="0D313604" w:rsidRPr="3143CCF0">
        <w:rPr>
          <w:vertAlign w:val="superscript"/>
        </w:rPr>
        <w:t>7</w:t>
      </w:r>
      <w:r>
        <w:rPr>
          <w:vertAlign w:val="superscript"/>
        </w:rPr>
        <w:t xml:space="preserve"> </w:t>
      </w:r>
      <w:r w:rsidRPr="00E118A3">
        <w:t xml:space="preserve">They note a lack of </w:t>
      </w:r>
      <w:r w:rsidR="00617FA8" w:rsidRPr="00E118A3">
        <w:t>PROM</w:t>
      </w:r>
      <w:r w:rsidR="00617FA8">
        <w:t>s</w:t>
      </w:r>
      <w:r w:rsidR="00617FA8" w:rsidRPr="00E118A3">
        <w:t xml:space="preserve"> </w:t>
      </w:r>
      <w:r w:rsidRPr="00E118A3">
        <w:t xml:space="preserve">in the most cited papers and state that evaluation of PROMs is an urgent area requiring improvement in the rhytidectomy literature and clinical practice. </w:t>
      </w:r>
      <w:bookmarkStart w:id="7" w:name="_Hlk198018938"/>
      <w:r w:rsidRPr="00E118A3">
        <w:t>Without reference to validated patient satisfaction indicators, they argue that current clinical outcome measures are inadequate.</w:t>
      </w:r>
      <w:bookmarkEnd w:id="7"/>
    </w:p>
    <w:p w14:paraId="416F1128" w14:textId="7CC0F978" w:rsidR="0055508C" w:rsidRPr="00E118A3" w:rsidRDefault="0055508C" w:rsidP="00160417">
      <w:r w:rsidRPr="00E118A3">
        <w:t xml:space="preserve">A 2024 systematic review by Meretsky </w:t>
      </w:r>
      <w:r w:rsidRPr="0063790A">
        <w:t>et al</w:t>
      </w:r>
      <w:r w:rsidR="0063790A">
        <w:t>.</w:t>
      </w:r>
      <w:r w:rsidRPr="00E118A3">
        <w:t xml:space="preserve"> considered advantages, disadvantages and outcomes for patients undergoing facelifting for rejuvenative or reconstructive needs.</w:t>
      </w:r>
      <w:r w:rsidR="7942F080" w:rsidRPr="3143CCF0">
        <w:rPr>
          <w:vertAlign w:val="superscript"/>
        </w:rPr>
        <w:t>8</w:t>
      </w:r>
      <w:r w:rsidRPr="00E118A3">
        <w:t xml:space="preserve"> They concluded that the disadvantages of surgery proved minor when weighed against the substantial aesthetic and quality</w:t>
      </w:r>
      <w:r w:rsidR="00617FA8">
        <w:t>-</w:t>
      </w:r>
      <w:r w:rsidRPr="00E118A3">
        <w:t>of</w:t>
      </w:r>
      <w:r w:rsidR="00617FA8">
        <w:t>-</w:t>
      </w:r>
      <w:r w:rsidRPr="00E118A3">
        <w:t>life</w:t>
      </w:r>
      <w:r>
        <w:t xml:space="preserve"> benefits</w:t>
      </w:r>
      <w:r w:rsidRPr="00E118A3">
        <w:t xml:space="preserve"> for patients.</w:t>
      </w:r>
    </w:p>
    <w:p w14:paraId="2EA746FD" w14:textId="6BB85202" w:rsidR="00CC61AD" w:rsidRDefault="00C55E99" w:rsidP="00B37DAA">
      <w:pPr>
        <w:pStyle w:val="Heading1"/>
      </w:pPr>
      <w:bookmarkStart w:id="8" w:name="_Toc197682824"/>
      <w:r w:rsidRPr="001636EF">
        <w:lastRenderedPageBreak/>
        <w:t>Risks</w:t>
      </w:r>
      <w:r w:rsidR="00CC61AD" w:rsidRPr="001636EF">
        <w:t xml:space="preserve"> and </w:t>
      </w:r>
      <w:r w:rsidR="00FB5B2E">
        <w:t>complications</w:t>
      </w:r>
      <w:bookmarkEnd w:id="8"/>
    </w:p>
    <w:p w14:paraId="65C073C7" w14:textId="12095B25" w:rsidR="004751AB" w:rsidRPr="00E118A3" w:rsidRDefault="004751AB" w:rsidP="00160417">
      <w:r w:rsidRPr="00E118A3">
        <w:t xml:space="preserve">Herruer </w:t>
      </w:r>
      <w:r w:rsidRPr="0063790A">
        <w:t>et al</w:t>
      </w:r>
      <w:r w:rsidR="0063790A">
        <w:t>.</w:t>
      </w:r>
      <w:r w:rsidRPr="00E118A3">
        <w:t xml:space="preserve"> (2015) conducted a systematic review of negative predictors for satisfaction in patients seeking facial cosmetic surgery</w:t>
      </w:r>
      <w:r>
        <w:t>.</w:t>
      </w:r>
      <w:r w:rsidR="2CB88E0A" w:rsidRPr="3143CCF0">
        <w:rPr>
          <w:vertAlign w:val="superscript"/>
        </w:rPr>
        <w:t>9</w:t>
      </w:r>
      <w:r w:rsidRPr="00E118A3">
        <w:t xml:space="preserve"> They found possible demographic and psychosocial predictors for an unsatisfactory outcome of facial cosmetic surgery include male sex, young age, unrealistic expectations, minimal deformities, demanding patients, ‘</w:t>
      </w:r>
      <w:proofErr w:type="spellStart"/>
      <w:r w:rsidRPr="00E118A3">
        <w:t>surgiholics</w:t>
      </w:r>
      <w:proofErr w:type="spellEnd"/>
      <w:r w:rsidRPr="00E118A3">
        <w:t>,’ relational or familial disturbances, an obsessive personality</w:t>
      </w:r>
      <w:r>
        <w:t xml:space="preserve"> </w:t>
      </w:r>
      <w:r w:rsidRPr="00E118A3">
        <w:t>and a narcissistic personality. They were unable to find a brief personality assessment tool that could be used to address predictors preoperatively.</w:t>
      </w:r>
    </w:p>
    <w:p w14:paraId="16D09D5E" w14:textId="67D00C9F" w:rsidR="004751AB" w:rsidRPr="00E118A3" w:rsidRDefault="004751AB" w:rsidP="00160417">
      <w:r w:rsidRPr="00E118A3">
        <w:t xml:space="preserve">A </w:t>
      </w:r>
      <w:r w:rsidR="00BF04F3">
        <w:t>British Medical Journal (</w:t>
      </w:r>
      <w:r w:rsidRPr="00E118A3">
        <w:t>BMJ</w:t>
      </w:r>
      <w:r w:rsidR="00BF04F3">
        <w:t>)</w:t>
      </w:r>
      <w:r w:rsidRPr="00E118A3">
        <w:t xml:space="preserve"> Best Practice evidence overview</w:t>
      </w:r>
      <w:r w:rsidR="006C6355">
        <w:t xml:space="preserve"> on ‘Wrinkles’</w:t>
      </w:r>
      <w:r w:rsidRPr="00E118A3">
        <w:t xml:space="preserve"> (2022) states that facelifts are associated with the risk of scarring, haematoma formation, alopecia, nerve damage, facial asymmetries</w:t>
      </w:r>
      <w:r>
        <w:t xml:space="preserve"> and</w:t>
      </w:r>
      <w:r w:rsidRPr="00E118A3">
        <w:t xml:space="preserve"> facial nerve palsy.</w:t>
      </w:r>
      <w:r w:rsidR="1DB7314C" w:rsidRPr="3143CCF0">
        <w:rPr>
          <w:vertAlign w:val="superscript"/>
        </w:rPr>
        <w:t>10</w:t>
      </w:r>
    </w:p>
    <w:p w14:paraId="0235AA17" w14:textId="5A9B17D6" w:rsidR="004751AB" w:rsidRPr="00E118A3" w:rsidRDefault="004751AB" w:rsidP="00160417">
      <w:r>
        <w:t>We identified 12 further papers that</w:t>
      </w:r>
      <w:r w:rsidRPr="00E118A3">
        <w:t xml:space="preserve"> provide detail</w:t>
      </w:r>
      <w:r w:rsidR="0042443F">
        <w:t>s</w:t>
      </w:r>
      <w:r w:rsidRPr="00E118A3">
        <w:t xml:space="preserve"> on potential risk factors for</w:t>
      </w:r>
      <w:r>
        <w:t>,</w:t>
      </w:r>
      <w:r w:rsidRPr="00E118A3">
        <w:t xml:space="preserve"> and complications resulting from</w:t>
      </w:r>
      <w:r>
        <w:t>,</w:t>
      </w:r>
      <w:r w:rsidRPr="00E118A3">
        <w:t xml:space="preserve"> aesthetic facial surgery. These are listed below.</w:t>
      </w:r>
    </w:p>
    <w:p w14:paraId="04553D44" w14:textId="122F6F3A" w:rsidR="004751AB" w:rsidRPr="004D6B73" w:rsidRDefault="004751AB" w:rsidP="004D6B73">
      <w:pPr>
        <w:textAlignment w:val="baseline"/>
        <w:rPr>
          <w:rFonts w:eastAsia="Times New Roman"/>
          <w:kern w:val="0"/>
          <w14:ligatures w14:val="none"/>
        </w:rPr>
      </w:pPr>
      <w:r w:rsidRPr="004D6B73">
        <w:rPr>
          <w:rFonts w:eastAsia="Times New Roman"/>
          <w:kern w:val="0"/>
          <w14:ligatures w14:val="none"/>
        </w:rPr>
        <w:t>Sinclair et al</w:t>
      </w:r>
      <w:r w:rsidR="0063790A" w:rsidRPr="004D6B73">
        <w:rPr>
          <w:rFonts w:eastAsia="Times New Roman"/>
          <w:kern w:val="0"/>
          <w14:ligatures w14:val="none"/>
        </w:rPr>
        <w:t>.</w:t>
      </w:r>
      <w:r w:rsidRPr="004D6B73">
        <w:rPr>
          <w:rFonts w:eastAsia="Times New Roman"/>
          <w:kern w:val="0"/>
          <w14:ligatures w14:val="none"/>
        </w:rPr>
        <w:t xml:space="preserve"> (2022) Face lift practice patterns: An American Society of Plastic Surgeons member survey, 2000 and 2020. How much have we changed?</w:t>
      </w:r>
      <w:r w:rsidRPr="004D6B73">
        <w:rPr>
          <w:vertAlign w:val="superscript"/>
        </w:rPr>
        <w:t>11</w:t>
      </w:r>
    </w:p>
    <w:p w14:paraId="551C150C" w14:textId="77777777" w:rsidR="004751AB" w:rsidRPr="006A681A" w:rsidRDefault="004751AB" w:rsidP="006A681A">
      <w:pPr>
        <w:pStyle w:val="ListParagraph"/>
      </w:pPr>
      <w:r w:rsidRPr="006A681A">
        <w:t>Literature consistently documents a low incidence of symptomatic deep vein thrombosis in the face lift patient population, which approaches zero when using conscious sedation rather than general anaesthesia.</w:t>
      </w:r>
    </w:p>
    <w:p w14:paraId="316041CE" w14:textId="7224D8C7" w:rsidR="004751AB" w:rsidRPr="006A681A" w:rsidRDefault="004751AB" w:rsidP="006A681A">
      <w:pPr>
        <w:pStyle w:val="ListParagraph"/>
      </w:pPr>
      <w:r w:rsidRPr="006A681A">
        <w:t>The reported incidence of postoperative infections is less than 1</w:t>
      </w:r>
      <w:r w:rsidR="00135784">
        <w:t> %</w:t>
      </w:r>
      <w:r w:rsidRPr="006A681A">
        <w:t xml:space="preserve"> in large retrospective reviews.</w:t>
      </w:r>
    </w:p>
    <w:p w14:paraId="493C52CA" w14:textId="43FFF5DC" w:rsidR="004751AB" w:rsidRPr="00CF1898" w:rsidRDefault="004751AB" w:rsidP="004D6B73">
      <w:r w:rsidRPr="00D00F12">
        <w:t>Dutt</w:t>
      </w:r>
      <w:r w:rsidRPr="00CF1898">
        <w:t xml:space="preserve"> </w:t>
      </w:r>
      <w:r w:rsidRPr="0063790A">
        <w:t>et al</w:t>
      </w:r>
      <w:r w:rsidR="0063790A">
        <w:t>.</w:t>
      </w:r>
      <w:r w:rsidRPr="00CF1898">
        <w:t xml:space="preserve"> (2023) </w:t>
      </w:r>
      <w:r w:rsidRPr="0096071D">
        <w:t>A bibliometric analysis of the highest cited rhytidectomy literature</w:t>
      </w:r>
      <w:r w:rsidRPr="00CF1898">
        <w:t>.</w:t>
      </w:r>
      <w:r w:rsidRPr="004D6B73">
        <w:rPr>
          <w:vertAlign w:val="superscript"/>
        </w:rPr>
        <w:t>5</w:t>
      </w:r>
    </w:p>
    <w:p w14:paraId="2A40E900" w14:textId="40CAB6A6" w:rsidR="004751AB" w:rsidRPr="006A681A" w:rsidRDefault="004751AB" w:rsidP="006A681A">
      <w:pPr>
        <w:pStyle w:val="ListParagraph"/>
      </w:pPr>
      <w:r w:rsidRPr="00E118A3">
        <w:t xml:space="preserve">Haematoma </w:t>
      </w:r>
      <w:r w:rsidRPr="006A681A">
        <w:t>remains the most common complication, often occurring within the first 24</w:t>
      </w:r>
      <w:r w:rsidR="004D6B73">
        <w:t> </w:t>
      </w:r>
      <w:r w:rsidRPr="006A681A">
        <w:t>hours after the procedure.</w:t>
      </w:r>
    </w:p>
    <w:p w14:paraId="173761C5" w14:textId="1E64D5AE" w:rsidR="004751AB" w:rsidRPr="00E118A3" w:rsidRDefault="004751AB" w:rsidP="006A681A">
      <w:pPr>
        <w:pStyle w:val="ListParagraph"/>
      </w:pPr>
      <w:r w:rsidRPr="006A681A">
        <w:t>There is an increased incidence of large haematomas in male patients compared with females</w:t>
      </w:r>
      <w:r w:rsidRPr="00E118A3">
        <w:t>.</w:t>
      </w:r>
    </w:p>
    <w:p w14:paraId="3BBC611B" w14:textId="159F0F04" w:rsidR="004751AB" w:rsidRPr="004D6B73" w:rsidRDefault="004751AB" w:rsidP="004D6B73">
      <w:pPr>
        <w:rPr>
          <w:i/>
          <w:iCs/>
        </w:rPr>
      </w:pPr>
      <w:r w:rsidRPr="00D00F12">
        <w:t>Bassiri</w:t>
      </w:r>
      <w:r w:rsidRPr="001101F8">
        <w:t xml:space="preserve">-Tehrani </w:t>
      </w:r>
      <w:r w:rsidRPr="0063790A">
        <w:t>et al</w:t>
      </w:r>
      <w:r w:rsidR="0063790A">
        <w:t>.</w:t>
      </w:r>
      <w:r w:rsidRPr="001101F8">
        <w:t xml:space="preserve"> (2023) </w:t>
      </w:r>
      <w:r w:rsidRPr="0096071D">
        <w:t>Systolic blood pressure less than 120 mmHg is a safe and effective method to minimise bleeding after facelift surgery: a review of 502 consecutive cases</w:t>
      </w:r>
      <w:r w:rsidRPr="004D6B73">
        <w:rPr>
          <w:i/>
          <w:iCs/>
        </w:rPr>
        <w:t>.</w:t>
      </w:r>
      <w:r w:rsidR="1C4EC75B" w:rsidRPr="004D6B73">
        <w:rPr>
          <w:vertAlign w:val="superscript"/>
        </w:rPr>
        <w:t>1</w:t>
      </w:r>
      <w:r w:rsidR="68D72B3D" w:rsidRPr="004D6B73">
        <w:rPr>
          <w:vertAlign w:val="superscript"/>
        </w:rPr>
        <w:t>2</w:t>
      </w:r>
    </w:p>
    <w:p w14:paraId="44E61F20" w14:textId="1D66296A" w:rsidR="004751AB" w:rsidRPr="00FD1FA6" w:rsidRDefault="004751AB" w:rsidP="00D00F12">
      <w:pPr>
        <w:pStyle w:val="ListParagraph"/>
      </w:pPr>
      <w:r w:rsidRPr="00D00F12">
        <w:t>Haematoma</w:t>
      </w:r>
      <w:r w:rsidRPr="00E118A3">
        <w:t xml:space="preserve"> </w:t>
      </w:r>
      <w:r w:rsidRPr="00FD1FA6">
        <w:t>is the most common complication after facelift surgery.</w:t>
      </w:r>
    </w:p>
    <w:p w14:paraId="4B44F20E" w14:textId="77777777" w:rsidR="004751AB" w:rsidRPr="00E118A3" w:rsidRDefault="004751AB" w:rsidP="00FD1FA6">
      <w:pPr>
        <w:pStyle w:val="ListParagraph"/>
        <w:rPr>
          <w:rFonts w:eastAsia="Times New Roman"/>
          <w:kern w:val="0"/>
          <w14:ligatures w14:val="none"/>
        </w:rPr>
      </w:pPr>
      <w:r w:rsidRPr="00FD1FA6">
        <w:t>Hypertension</w:t>
      </w:r>
      <w:r w:rsidRPr="00E118A3">
        <w:t xml:space="preserve"> is the main risk factor for haematoma following facelift</w:t>
      </w:r>
      <w:r>
        <w:t xml:space="preserve"> surgery</w:t>
      </w:r>
      <w:r w:rsidRPr="00E118A3">
        <w:t>.</w:t>
      </w:r>
    </w:p>
    <w:p w14:paraId="358CDF50" w14:textId="120FCE3E" w:rsidR="004751AB" w:rsidRPr="009016F6" w:rsidRDefault="004751AB" w:rsidP="004D6B73">
      <w:r w:rsidRPr="00D00F12">
        <w:t>Kucukguven</w:t>
      </w:r>
      <w:r w:rsidRPr="009016F6">
        <w:t xml:space="preserve"> </w:t>
      </w:r>
      <w:r w:rsidRPr="0063790A">
        <w:t>et al</w:t>
      </w:r>
      <w:r w:rsidR="0063790A">
        <w:t>.</w:t>
      </w:r>
      <w:r w:rsidRPr="009016F6">
        <w:t xml:space="preserve"> (2023) </w:t>
      </w:r>
      <w:r w:rsidRPr="0096071D">
        <w:t>A systematic review and meta-analysis of early relapse after facelift.</w:t>
      </w:r>
      <w:r w:rsidRPr="004D6B73">
        <w:rPr>
          <w:vertAlign w:val="superscript"/>
        </w:rPr>
        <w:t xml:space="preserve"> </w:t>
      </w:r>
      <w:r w:rsidR="1C4EC75B" w:rsidRPr="004D6B73">
        <w:rPr>
          <w:vertAlign w:val="superscript"/>
        </w:rPr>
        <w:t>1</w:t>
      </w:r>
      <w:r w:rsidR="67A76305" w:rsidRPr="004D6B73">
        <w:rPr>
          <w:vertAlign w:val="superscript"/>
        </w:rPr>
        <w:t>3</w:t>
      </w:r>
    </w:p>
    <w:p w14:paraId="785FD7E0" w14:textId="7E3661DA" w:rsidR="004751AB" w:rsidRPr="00FD1FA6" w:rsidRDefault="004751AB" w:rsidP="00D00F12">
      <w:pPr>
        <w:pStyle w:val="ListParagraph"/>
      </w:pPr>
      <w:r w:rsidRPr="00E118A3">
        <w:t>Relapse-</w:t>
      </w:r>
      <w:r w:rsidRPr="00FD1FA6">
        <w:t>related outcomes (RROs) were reported in only 4.4</w:t>
      </w:r>
      <w:r w:rsidR="00E76CD5">
        <w:t> </w:t>
      </w:r>
      <w:r w:rsidRPr="00FD1FA6">
        <w:t>% (19/433) of the papers that underwent full-text review.</w:t>
      </w:r>
    </w:p>
    <w:p w14:paraId="0FE9A816" w14:textId="77777777" w:rsidR="004751AB" w:rsidRPr="00E118A3" w:rsidRDefault="004751AB" w:rsidP="00FD1FA6">
      <w:pPr>
        <w:pStyle w:val="ListParagraph"/>
      </w:pPr>
      <w:r w:rsidRPr="00FD1FA6">
        <w:t>Consensus on the definitions of RROs and objective criteria for diagnosis of RROs are required</w:t>
      </w:r>
      <w:r w:rsidRPr="00E118A3">
        <w:t>.</w:t>
      </w:r>
    </w:p>
    <w:p w14:paraId="26A45F82" w14:textId="42C4AED0" w:rsidR="004751AB" w:rsidRPr="00125645" w:rsidRDefault="004751AB" w:rsidP="004D6B73">
      <w:r w:rsidRPr="00125645">
        <w:lastRenderedPageBreak/>
        <w:t xml:space="preserve">Meretsky </w:t>
      </w:r>
      <w:r w:rsidRPr="0063790A">
        <w:t>et al</w:t>
      </w:r>
      <w:r w:rsidR="0063790A">
        <w:t>.</w:t>
      </w:r>
      <w:r w:rsidRPr="00125645">
        <w:t xml:space="preserve"> (2024) </w:t>
      </w:r>
      <w:r w:rsidRPr="0096071D">
        <w:t>A systematic review and comparative analysis of reconstructive rhytidectomy: advantages, disadvantages</w:t>
      </w:r>
      <w:r w:rsidR="000542B6">
        <w:t xml:space="preserve"> and</w:t>
      </w:r>
      <w:r w:rsidRPr="0096071D">
        <w:t xml:space="preserve"> patient outcomes.</w:t>
      </w:r>
      <w:r w:rsidRPr="004D6B73">
        <w:rPr>
          <w:vertAlign w:val="superscript"/>
        </w:rPr>
        <w:t>4</w:t>
      </w:r>
    </w:p>
    <w:p w14:paraId="0AF0D838" w14:textId="022A5498" w:rsidR="004751AB" w:rsidRPr="00E118A3" w:rsidRDefault="004751AB" w:rsidP="00FD1FA6">
      <w:pPr>
        <w:pStyle w:val="ListParagraph"/>
      </w:pPr>
      <w:r w:rsidRPr="00E118A3">
        <w:t>Facelifts were associated with a complication rate of 1.8</w:t>
      </w:r>
      <w:r w:rsidR="007320D9">
        <w:t> </w:t>
      </w:r>
      <w:r w:rsidRPr="00E118A3">
        <w:t>%, which is comparable to the 2</w:t>
      </w:r>
      <w:r w:rsidR="007320D9">
        <w:t> </w:t>
      </w:r>
      <w:r w:rsidRPr="00E118A3">
        <w:t>% complication rate linked to other cosmetic surgeries.</w:t>
      </w:r>
    </w:p>
    <w:p w14:paraId="54A39597" w14:textId="5C15F0F0" w:rsidR="004751AB" w:rsidRPr="00E118A3" w:rsidRDefault="004751AB" w:rsidP="00FD1FA6">
      <w:pPr>
        <w:pStyle w:val="ListParagraph"/>
      </w:pPr>
      <w:r w:rsidRPr="00E118A3">
        <w:t>The most frequently observed issues were hematomas at 1.1</w:t>
      </w:r>
      <w:r w:rsidR="007320D9">
        <w:t> </w:t>
      </w:r>
      <w:r w:rsidRPr="00E118A3">
        <w:t>% and infections at 0.3</w:t>
      </w:r>
      <w:r w:rsidR="007320D9">
        <w:t> </w:t>
      </w:r>
      <w:r w:rsidRPr="00E118A3">
        <w:t>%.</w:t>
      </w:r>
    </w:p>
    <w:p w14:paraId="22AE9301" w14:textId="15ACECFF" w:rsidR="004751AB" w:rsidRPr="00E118A3" w:rsidRDefault="004751AB" w:rsidP="00FD1FA6">
      <w:pPr>
        <w:pStyle w:val="ListParagraph"/>
      </w:pPr>
      <w:r w:rsidRPr="00E118A3">
        <w:t xml:space="preserve">Male gender, a </w:t>
      </w:r>
      <w:r>
        <w:t>body mass index (BMI)</w:t>
      </w:r>
      <w:r w:rsidRPr="00E118A3">
        <w:t xml:space="preserve"> of 25</w:t>
      </w:r>
      <w:r>
        <w:t> </w:t>
      </w:r>
      <w:r w:rsidRPr="00E118A3">
        <w:t>kg/m</w:t>
      </w:r>
      <w:r w:rsidRPr="00E118A3">
        <w:rPr>
          <w:vertAlign w:val="superscript"/>
        </w:rPr>
        <w:t>2</w:t>
      </w:r>
      <w:r w:rsidRPr="00E118A3">
        <w:t> or higher, and undergoing combined procedures are identified as independent risk factors.</w:t>
      </w:r>
    </w:p>
    <w:p w14:paraId="6A823FF8" w14:textId="59E07DC5" w:rsidR="00993E0D" w:rsidRDefault="004751AB" w:rsidP="00FD1FA6">
      <w:pPr>
        <w:pStyle w:val="ListParagraph"/>
      </w:pPr>
      <w:r w:rsidRPr="00E118A3">
        <w:t>The most frequent negative outcome is dissatisfaction with the aesthetic results.</w:t>
      </w:r>
    </w:p>
    <w:p w14:paraId="7DC491F1" w14:textId="77777777" w:rsidR="00993E0D" w:rsidRPr="00532160" w:rsidRDefault="00993E0D" w:rsidP="002B4038">
      <w:pPr>
        <w:pStyle w:val="Heading2"/>
      </w:pPr>
      <w:bookmarkStart w:id="9" w:name="_Toc197682825"/>
      <w:r w:rsidRPr="00532160">
        <w:t>Superficial muscular aponeurotic system (SMAS) facelift techniques</w:t>
      </w:r>
      <w:bookmarkEnd w:id="9"/>
    </w:p>
    <w:p w14:paraId="50456761" w14:textId="1C6F4357" w:rsidR="00993E0D" w:rsidRPr="00E43FA7" w:rsidRDefault="00993E0D" w:rsidP="004D6B73">
      <w:r w:rsidRPr="00E43FA7">
        <w:t xml:space="preserve">Jacono </w:t>
      </w:r>
      <w:r w:rsidRPr="0063790A">
        <w:t>et al</w:t>
      </w:r>
      <w:r w:rsidR="0063790A">
        <w:t>.</w:t>
      </w:r>
      <w:r w:rsidRPr="00E43FA7">
        <w:t xml:space="preserve"> (2019) </w:t>
      </w:r>
      <w:r w:rsidRPr="0096071D">
        <w:t>A meta-analysis of complication rates among different SMAS facelift techniques</w:t>
      </w:r>
      <w:r w:rsidRPr="00E43FA7">
        <w:t>.</w:t>
      </w:r>
      <w:r w:rsidR="5B278E5F" w:rsidRPr="004D6B73">
        <w:rPr>
          <w:vertAlign w:val="superscript"/>
        </w:rPr>
        <w:t>1</w:t>
      </w:r>
      <w:r w:rsidR="648A3A07" w:rsidRPr="004D6B73">
        <w:rPr>
          <w:vertAlign w:val="superscript"/>
        </w:rPr>
        <w:t>4</w:t>
      </w:r>
    </w:p>
    <w:p w14:paraId="119BD293" w14:textId="260CA5F7" w:rsidR="00993E0D" w:rsidRPr="002B4038" w:rsidRDefault="00993E0D" w:rsidP="002B4038">
      <w:pPr>
        <w:pStyle w:val="ListParagraph"/>
      </w:pPr>
      <w:r w:rsidRPr="002B4038">
        <w:t>There are statistically significant differences in complication rates between SMAS facelifting techniques for temporary facial nerve injury, haematoma, seroma, necrosis and infection.</w:t>
      </w:r>
    </w:p>
    <w:p w14:paraId="21EA1F2E" w14:textId="414AB8B0" w:rsidR="00993E0D" w:rsidRPr="00E118A3" w:rsidRDefault="00993E0D" w:rsidP="002B4038">
      <w:pPr>
        <w:pStyle w:val="ListParagraph"/>
      </w:pPr>
      <w:r w:rsidRPr="002B4038">
        <w:t>Technique</w:t>
      </w:r>
      <w:r w:rsidRPr="00E118A3">
        <w:t xml:space="preserve"> should be selected based on </w:t>
      </w:r>
      <w:r w:rsidR="004D6B73">
        <w:t xml:space="preserve">the </w:t>
      </w:r>
      <w:r w:rsidRPr="00E118A3">
        <w:t>quality of results and not the complication profile.</w:t>
      </w:r>
    </w:p>
    <w:p w14:paraId="7796AE27" w14:textId="1566654C" w:rsidR="00993E0D" w:rsidRPr="000C688A" w:rsidRDefault="00993E0D" w:rsidP="004D6B73">
      <w:r w:rsidRPr="007320D9">
        <w:t>Mortada</w:t>
      </w:r>
      <w:r w:rsidRPr="000C688A">
        <w:t xml:space="preserve"> </w:t>
      </w:r>
      <w:r w:rsidRPr="0063790A">
        <w:t>et al</w:t>
      </w:r>
      <w:r w:rsidR="0063790A">
        <w:t>.</w:t>
      </w:r>
      <w:r w:rsidRPr="000C688A">
        <w:t xml:space="preserve"> (2023) Evolution of </w:t>
      </w:r>
      <w:r w:rsidR="008133B5">
        <w:t>SMAS</w:t>
      </w:r>
      <w:r w:rsidRPr="000C688A">
        <w:t xml:space="preserve"> facelift techniques: a comprehensive systematic review of complications and outcomes</w:t>
      </w:r>
      <w:r>
        <w:t>.</w:t>
      </w:r>
      <w:r w:rsidR="5B278E5F" w:rsidRPr="004D6B73">
        <w:rPr>
          <w:vertAlign w:val="superscript"/>
        </w:rPr>
        <w:t>1</w:t>
      </w:r>
      <w:r w:rsidR="14AF75EF" w:rsidRPr="004D6B73">
        <w:rPr>
          <w:vertAlign w:val="superscript"/>
        </w:rPr>
        <w:t>5</w:t>
      </w:r>
    </w:p>
    <w:p w14:paraId="6AA4132A" w14:textId="5CB04CBB" w:rsidR="00993E0D" w:rsidRPr="002B4038" w:rsidRDefault="00993E0D" w:rsidP="002B4038">
      <w:pPr>
        <w:pStyle w:val="ListParagraph"/>
      </w:pPr>
      <w:r w:rsidRPr="00E118A3">
        <w:t xml:space="preserve">Complication </w:t>
      </w:r>
      <w:r w:rsidRPr="002B4038">
        <w:t>rates varied depending on the technique used, with the SMAS flap and composite SMAS technique having the highest (5.</w:t>
      </w:r>
      <w:r w:rsidR="00C15B2D">
        <w:t>8 </w:t>
      </w:r>
      <w:r w:rsidRPr="002B4038">
        <w:t>%) and lowest (0.</w:t>
      </w:r>
      <w:r w:rsidR="00C15B2D">
        <w:t>1 </w:t>
      </w:r>
      <w:r w:rsidRPr="002B4038">
        <w:t>%) complication rates, respectively.</w:t>
      </w:r>
    </w:p>
    <w:p w14:paraId="33801BFC" w14:textId="5E4D26CF" w:rsidR="00993E0D" w:rsidRPr="002B4038" w:rsidRDefault="00993E0D" w:rsidP="002B4038">
      <w:pPr>
        <w:pStyle w:val="ListParagraph"/>
      </w:pPr>
      <w:r w:rsidRPr="002B4038">
        <w:t>The most common complications were temporary facial nerve injury (0.</w:t>
      </w:r>
      <w:r w:rsidR="00C15B2D">
        <w:t>9 </w:t>
      </w:r>
      <w:r w:rsidRPr="002B4038">
        <w:t>%) and skin necrosis (0.4</w:t>
      </w:r>
      <w:r w:rsidR="00C15B2D">
        <w:t> </w:t>
      </w:r>
      <w:r w:rsidRPr="002B4038">
        <w:t>%). The authors found only one reported case of permanent facial nerve injury.</w:t>
      </w:r>
    </w:p>
    <w:p w14:paraId="54BE5156" w14:textId="358181C3" w:rsidR="00993E0D" w:rsidRPr="00E118A3" w:rsidRDefault="00993E0D" w:rsidP="002B4038">
      <w:pPr>
        <w:pStyle w:val="ListParagraph"/>
      </w:pPr>
      <w:r w:rsidRPr="002B4038">
        <w:t>Some studies did</w:t>
      </w:r>
      <w:r w:rsidRPr="00E118A3">
        <w:t xml:space="preserve"> not report all complications, making it difficult to determine the best approach.</w:t>
      </w:r>
    </w:p>
    <w:p w14:paraId="40EE6B13" w14:textId="4FF2C9D0" w:rsidR="00993E0D" w:rsidRPr="00B3631B" w:rsidRDefault="00993E0D" w:rsidP="004D6B73">
      <w:r w:rsidRPr="007320D9">
        <w:t>Avashia</w:t>
      </w:r>
      <w:r w:rsidRPr="00B3631B">
        <w:t xml:space="preserve"> </w:t>
      </w:r>
      <w:r w:rsidRPr="0063790A">
        <w:t>et al</w:t>
      </w:r>
      <w:r w:rsidR="0063790A">
        <w:t>.</w:t>
      </w:r>
      <w:r w:rsidRPr="00B3631B">
        <w:t xml:space="preserve"> (2023) An evidence-based and case-based comparison of modern face lift techniques.</w:t>
      </w:r>
      <w:r w:rsidR="5B278E5F" w:rsidRPr="004D6B73">
        <w:rPr>
          <w:vertAlign w:val="superscript"/>
        </w:rPr>
        <w:t>1</w:t>
      </w:r>
      <w:r w:rsidR="15EBFC28" w:rsidRPr="004D6B73">
        <w:rPr>
          <w:vertAlign w:val="superscript"/>
        </w:rPr>
        <w:t>6</w:t>
      </w:r>
    </w:p>
    <w:p w14:paraId="158E9857" w14:textId="77777777" w:rsidR="00993E0D" w:rsidRPr="002B4038" w:rsidRDefault="00993E0D" w:rsidP="002B4038">
      <w:pPr>
        <w:pStyle w:val="ListParagraph"/>
      </w:pPr>
      <w:r w:rsidRPr="00E118A3">
        <w:t xml:space="preserve">SMAS </w:t>
      </w:r>
      <w:r w:rsidRPr="002B4038">
        <w:t>manipulation techniques are associated with low complication rates.</w:t>
      </w:r>
    </w:p>
    <w:p w14:paraId="1A76EC51" w14:textId="3BCDC915" w:rsidR="00993E0D" w:rsidRPr="00B3631B" w:rsidRDefault="00993E0D" w:rsidP="002B4038">
      <w:pPr>
        <w:pStyle w:val="ListParagraph"/>
      </w:pPr>
      <w:r w:rsidRPr="002B4038">
        <w:t>There is no strong evidence for increased complication rates with SMAS elevation techniques</w:t>
      </w:r>
      <w:r w:rsidRPr="00E118A3">
        <w:t>.</w:t>
      </w:r>
    </w:p>
    <w:p w14:paraId="4DDF378A" w14:textId="77777777" w:rsidR="00432EC5" w:rsidRDefault="00432EC5">
      <w:pPr>
        <w:rPr>
          <w:rFonts w:eastAsia="Times New Roman"/>
          <w:b/>
          <w:bCs/>
          <w:color w:val="009242"/>
        </w:rPr>
      </w:pPr>
      <w:r>
        <w:br w:type="page"/>
      </w:r>
    </w:p>
    <w:p w14:paraId="4DA81627" w14:textId="45E06DC0" w:rsidR="00993E0D" w:rsidRPr="00B3631B" w:rsidRDefault="00993E0D" w:rsidP="00D17924">
      <w:pPr>
        <w:pStyle w:val="Heading2"/>
      </w:pPr>
      <w:bookmarkStart w:id="10" w:name="_Toc197682826"/>
      <w:r w:rsidRPr="00B3631B">
        <w:lastRenderedPageBreak/>
        <w:t>Neck lift</w:t>
      </w:r>
      <w:bookmarkEnd w:id="10"/>
    </w:p>
    <w:p w14:paraId="35AB69AC" w14:textId="4D87C1FA" w:rsidR="00993E0D" w:rsidRPr="004D6B73" w:rsidRDefault="00993E0D" w:rsidP="004D6B73">
      <w:pPr>
        <w:textAlignment w:val="baseline"/>
        <w:rPr>
          <w:rFonts w:eastAsia="Times New Roman"/>
          <w:kern w:val="0"/>
          <w14:ligatures w14:val="none"/>
        </w:rPr>
      </w:pPr>
      <w:r w:rsidRPr="00432EC5">
        <w:t>Cambiaso-Daniel et al</w:t>
      </w:r>
      <w:r w:rsidR="0063790A" w:rsidRPr="00432EC5">
        <w:t>.</w:t>
      </w:r>
      <w:r w:rsidRPr="00432EC5">
        <w:t xml:space="preserve"> (2024) Neck lift to treat platysma bands and defining cervical angle: a systematic review and pooled analysis</w:t>
      </w:r>
      <w:r w:rsidRPr="004D6B73">
        <w:rPr>
          <w:rFonts w:eastAsia="Times New Roman"/>
          <w:kern w:val="0"/>
          <w14:ligatures w14:val="none"/>
        </w:rPr>
        <w:t>.</w:t>
      </w:r>
      <w:r w:rsidRPr="004D6B73">
        <w:rPr>
          <w:vertAlign w:val="superscript"/>
        </w:rPr>
        <w:t>17</w:t>
      </w:r>
    </w:p>
    <w:p w14:paraId="0C01B165" w14:textId="1BD7CB1C" w:rsidR="00993E0D" w:rsidRPr="00D17924" w:rsidRDefault="00993E0D" w:rsidP="00D17924">
      <w:pPr>
        <w:pStyle w:val="ListParagraph"/>
      </w:pPr>
      <w:r w:rsidRPr="00E118A3">
        <w:t xml:space="preserve">Recurrence of </w:t>
      </w:r>
      <w:r w:rsidRPr="00D17924">
        <w:t>platysma bands during the follow</w:t>
      </w:r>
      <w:r w:rsidR="00343881">
        <w:t xml:space="preserve"> </w:t>
      </w:r>
      <w:r w:rsidRPr="00D17924">
        <w:t>up occurred with a pooled rate of 1.4</w:t>
      </w:r>
      <w:r w:rsidR="00432EC5">
        <w:t> </w:t>
      </w:r>
      <w:r w:rsidRPr="00D17924">
        <w:t>%.</w:t>
      </w:r>
    </w:p>
    <w:p w14:paraId="37FF353A" w14:textId="73A85512" w:rsidR="00993E0D" w:rsidRPr="00D17924" w:rsidRDefault="00993E0D" w:rsidP="00D17924">
      <w:pPr>
        <w:pStyle w:val="ListParagraph"/>
      </w:pPr>
      <w:r w:rsidRPr="00D17924">
        <w:t>The pooled overall nerve damage rate was 0.9</w:t>
      </w:r>
      <w:r w:rsidR="00432EC5">
        <w:t> </w:t>
      </w:r>
      <w:r w:rsidRPr="00D17924">
        <w:t>%.</w:t>
      </w:r>
    </w:p>
    <w:p w14:paraId="54A9BB20" w14:textId="60A80F1B" w:rsidR="00993E0D" w:rsidRPr="00D17924" w:rsidRDefault="00993E0D" w:rsidP="00D17924">
      <w:pPr>
        <w:pStyle w:val="ListParagraph"/>
      </w:pPr>
      <w:r w:rsidRPr="00D17924">
        <w:t>At the reported follow</w:t>
      </w:r>
      <w:r w:rsidR="00343881">
        <w:t xml:space="preserve"> </w:t>
      </w:r>
      <w:r w:rsidRPr="00D17924">
        <w:t>up, the pooled haematoma percentage was 1.8</w:t>
      </w:r>
      <w:r w:rsidR="00432EC5">
        <w:t> </w:t>
      </w:r>
      <w:r w:rsidRPr="00D17924">
        <w:t>%, and the pooled sialoma rate was 0.3</w:t>
      </w:r>
      <w:r w:rsidR="00432EC5">
        <w:t> </w:t>
      </w:r>
      <w:r w:rsidRPr="00D17924">
        <w:t>%.</w:t>
      </w:r>
    </w:p>
    <w:p w14:paraId="6C8DED12" w14:textId="77777777" w:rsidR="008B6FC9" w:rsidRDefault="00993E0D" w:rsidP="008B6FC9">
      <w:pPr>
        <w:pStyle w:val="ListParagraph"/>
      </w:pPr>
      <w:r w:rsidRPr="00D17924">
        <w:t>Less common complications</w:t>
      </w:r>
      <w:r w:rsidRPr="00E118A3">
        <w:t xml:space="preserve"> were long-lasting oedema, dehiscence of the submental suspension, and skin necrosis.</w:t>
      </w:r>
    </w:p>
    <w:p w14:paraId="3F1111BB" w14:textId="44899109" w:rsidR="00993E0D" w:rsidRPr="008B6FC9" w:rsidRDefault="00993E0D" w:rsidP="00343881">
      <w:r w:rsidRPr="008B6FC9">
        <w:t>Chinta</w:t>
      </w:r>
      <w:r w:rsidRPr="00A71775">
        <w:t xml:space="preserve"> </w:t>
      </w:r>
      <w:r w:rsidRPr="0063790A">
        <w:t>et al</w:t>
      </w:r>
      <w:r w:rsidR="0063790A">
        <w:t>.</w:t>
      </w:r>
      <w:r w:rsidRPr="00A71775">
        <w:t xml:space="preserve"> (2025) Current trends in deep plane neck lifting: a systematic review</w:t>
      </w:r>
      <w:r>
        <w:t>.</w:t>
      </w:r>
      <w:r w:rsidR="5B278E5F" w:rsidRPr="00343881">
        <w:rPr>
          <w:vertAlign w:val="superscript"/>
        </w:rPr>
        <w:t>1</w:t>
      </w:r>
      <w:r w:rsidR="18923FDF" w:rsidRPr="00343881">
        <w:rPr>
          <w:vertAlign w:val="superscript"/>
        </w:rPr>
        <w:t>8</w:t>
      </w:r>
    </w:p>
    <w:p w14:paraId="0CE21445" w14:textId="28404CCB" w:rsidR="00993E0D" w:rsidRPr="00D17924" w:rsidRDefault="00993E0D" w:rsidP="00D17924">
      <w:pPr>
        <w:pStyle w:val="ListParagraph"/>
      </w:pPr>
      <w:r w:rsidRPr="00D17924">
        <w:t>Postoperative complications were reported in 59.6</w:t>
      </w:r>
      <w:r w:rsidR="00432EC5">
        <w:t> </w:t>
      </w:r>
      <w:r w:rsidRPr="00D17924">
        <w:t>% of studies, with nerve palsy (0.2</w:t>
      </w:r>
      <w:r w:rsidR="00432EC5">
        <w:t> </w:t>
      </w:r>
      <w:r w:rsidRPr="00D17924">
        <w:t>% to 12</w:t>
      </w:r>
      <w:r w:rsidR="00432EC5">
        <w:t> </w:t>
      </w:r>
      <w:r w:rsidRPr="00D17924">
        <w:t>%) and haematoma (0.2</w:t>
      </w:r>
      <w:r w:rsidR="00432EC5">
        <w:t> </w:t>
      </w:r>
      <w:r w:rsidRPr="00D17924">
        <w:t>% to 4</w:t>
      </w:r>
      <w:r w:rsidR="00C55F3E">
        <w:t> </w:t>
      </w:r>
      <w:r w:rsidRPr="00D17924">
        <w:t>%) being most common.</w:t>
      </w:r>
    </w:p>
    <w:p w14:paraId="58304CAB" w14:textId="0574772F" w:rsidR="00993E0D" w:rsidRPr="00D17924" w:rsidRDefault="00993E0D" w:rsidP="00D17924">
      <w:pPr>
        <w:pStyle w:val="ListParagraph"/>
      </w:pPr>
      <w:r w:rsidRPr="00D17924">
        <w:t>Aesthetic outcomes were less frequently reported (56</w:t>
      </w:r>
      <w:r w:rsidR="00C55F3E">
        <w:t> </w:t>
      </w:r>
      <w:r w:rsidRPr="00D17924">
        <w:t>% of studies); patient satisfaction ranged from 81.6</w:t>
      </w:r>
      <w:r w:rsidR="00C55F3E">
        <w:t> </w:t>
      </w:r>
      <w:r w:rsidRPr="00D17924">
        <w:t>% to 98.6</w:t>
      </w:r>
      <w:r w:rsidR="00C55F3E">
        <w:t> </w:t>
      </w:r>
      <w:r w:rsidRPr="00D17924">
        <w:t>%, while objective measures were reported in only 12</w:t>
      </w:r>
      <w:r w:rsidR="00C55F3E">
        <w:t> </w:t>
      </w:r>
      <w:r w:rsidRPr="00D17924">
        <w:t>% of studies.</w:t>
      </w:r>
    </w:p>
    <w:p w14:paraId="4FFA1F67" w14:textId="2A586EE7" w:rsidR="00993E0D" w:rsidRPr="00E118A3" w:rsidRDefault="00993E0D" w:rsidP="00472E27">
      <w:pPr>
        <w:pStyle w:val="ListParagraph"/>
      </w:pPr>
      <w:r w:rsidRPr="00D17924">
        <w:t>Deep plane neck lift (DPNL</w:t>
      </w:r>
      <w:r w:rsidRPr="00D17924">
        <w:rPr>
          <w:rStyle w:val="CommentReference"/>
          <w:sz w:val="24"/>
          <w:szCs w:val="24"/>
        </w:rPr>
        <w:t>) s</w:t>
      </w:r>
      <w:r w:rsidRPr="00D17924">
        <w:t xml:space="preserve">howed a higher rate of postoperative nerve palsy </w:t>
      </w:r>
      <w:r w:rsidRPr="00472E27">
        <w:t>compared</w:t>
      </w:r>
      <w:r w:rsidRPr="00D17924">
        <w:t xml:space="preserve"> </w:t>
      </w:r>
      <w:r w:rsidR="00343881">
        <w:t>with</w:t>
      </w:r>
      <w:r w:rsidR="00343881" w:rsidRPr="00D17924">
        <w:t xml:space="preserve"> </w:t>
      </w:r>
      <w:r w:rsidRPr="00D17924">
        <w:t>traditional neck lift. Overall, while DPNL demonstrates potential aesthetic benefits, the increased risk necessitates thorough patient counselling and further</w:t>
      </w:r>
      <w:r w:rsidRPr="00E118A3">
        <w:t xml:space="preserve"> studies for standardisation and comparison.</w:t>
      </w:r>
    </w:p>
    <w:p w14:paraId="3A98873F" w14:textId="77777777" w:rsidR="00993E0D" w:rsidRPr="000A69CD" w:rsidRDefault="00993E0D" w:rsidP="00D17924">
      <w:pPr>
        <w:pStyle w:val="Heading2"/>
      </w:pPr>
      <w:bookmarkStart w:id="11" w:name="_Toc197682827"/>
      <w:r w:rsidRPr="000A69CD">
        <w:t>Brow lift</w:t>
      </w:r>
      <w:bookmarkEnd w:id="11"/>
    </w:p>
    <w:p w14:paraId="17403708" w14:textId="67ACFCD8" w:rsidR="00993E0D" w:rsidRPr="00343881" w:rsidRDefault="00993E0D" w:rsidP="00343881">
      <w:pPr>
        <w:textAlignment w:val="baseline"/>
        <w:rPr>
          <w:rFonts w:eastAsia="Times New Roman"/>
          <w:kern w:val="0"/>
          <w14:ligatures w14:val="none"/>
        </w:rPr>
      </w:pPr>
      <w:r w:rsidRPr="00D97F08">
        <w:t>Johnson et al</w:t>
      </w:r>
      <w:r w:rsidR="0063790A" w:rsidRPr="00D97F08">
        <w:t>.</w:t>
      </w:r>
      <w:r w:rsidRPr="00D97F08">
        <w:t xml:space="preserve"> (2020) Functional reconstruction of forehead and mid</w:t>
      </w:r>
      <w:r w:rsidR="009460BB">
        <w:t>-face</w:t>
      </w:r>
      <w:r w:rsidRPr="00D97F08">
        <w:t xml:space="preserve"> deficits using the endoscopic technique and bio</w:t>
      </w:r>
      <w:r w:rsidR="00246350">
        <w:t>absorbable</w:t>
      </w:r>
      <w:r w:rsidRPr="00D97F08">
        <w:t xml:space="preserve"> implants</w:t>
      </w:r>
      <w:r w:rsidRPr="00343881">
        <w:rPr>
          <w:rFonts w:eastAsia="Times New Roman"/>
          <w:kern w:val="0"/>
          <w14:ligatures w14:val="none"/>
        </w:rPr>
        <w:t>.</w:t>
      </w:r>
      <w:r w:rsidRPr="00343881">
        <w:rPr>
          <w:vertAlign w:val="superscript"/>
        </w:rPr>
        <w:t>19</w:t>
      </w:r>
    </w:p>
    <w:p w14:paraId="158BDFF6" w14:textId="39095639" w:rsidR="00993E0D" w:rsidRPr="00D17924" w:rsidRDefault="00993E0D" w:rsidP="00D17924">
      <w:pPr>
        <w:pStyle w:val="ListParagraph"/>
      </w:pPr>
      <w:r w:rsidRPr="00E118A3">
        <w:t xml:space="preserve">No </w:t>
      </w:r>
      <w:r w:rsidRPr="00D17924">
        <w:t>major operative complications</w:t>
      </w:r>
      <w:r w:rsidR="00343881">
        <w:t>,</w:t>
      </w:r>
      <w:r w:rsidRPr="00D17924">
        <w:t xml:space="preserve"> including stroke, permanent nerve paralysis or mortality</w:t>
      </w:r>
      <w:r w:rsidR="00343881">
        <w:t>,</w:t>
      </w:r>
      <w:r w:rsidRPr="00D17924">
        <w:t xml:space="preserve"> occurred.</w:t>
      </w:r>
    </w:p>
    <w:p w14:paraId="321BA0BB" w14:textId="16B97192" w:rsidR="00993E0D" w:rsidRPr="00E118A3" w:rsidRDefault="00993E0D" w:rsidP="00D17924">
      <w:pPr>
        <w:pStyle w:val="ListParagraph"/>
      </w:pPr>
      <w:r w:rsidRPr="00D17924">
        <w:t>There was a</w:t>
      </w:r>
      <w:r w:rsidRPr="00E118A3">
        <w:t xml:space="preserve"> 4</w:t>
      </w:r>
      <w:r w:rsidR="00D97F08">
        <w:t> </w:t>
      </w:r>
      <w:r w:rsidRPr="00E118A3">
        <w:t xml:space="preserve">% rate of temporary nerve paraesthesia that resolved, </w:t>
      </w:r>
      <w:r w:rsidR="00343881">
        <w:t xml:space="preserve">a </w:t>
      </w:r>
      <w:r w:rsidRPr="00E118A3">
        <w:t xml:space="preserve">2% rate of infection, and </w:t>
      </w:r>
      <w:r w:rsidR="00343881">
        <w:t xml:space="preserve">a </w:t>
      </w:r>
      <w:r w:rsidRPr="00E118A3">
        <w:t>6</w:t>
      </w:r>
      <w:r w:rsidR="00D97F08">
        <w:t> </w:t>
      </w:r>
      <w:r w:rsidRPr="00E118A3">
        <w:t>% rate of implant migration requiring revision surgery.</w:t>
      </w:r>
    </w:p>
    <w:p w14:paraId="27193EAA" w14:textId="1606F62E" w:rsidR="00993E0D" w:rsidRPr="005F67AB" w:rsidRDefault="00993E0D" w:rsidP="00343881">
      <w:r w:rsidRPr="005F67AB">
        <w:t>Şibar and Erdal (</w:t>
      </w:r>
      <w:r w:rsidRPr="00D97F08">
        <w:t>2024</w:t>
      </w:r>
      <w:r w:rsidRPr="005F67AB">
        <w:t>) The gliding brow lift: a systematic review of the literature.</w:t>
      </w:r>
      <w:r w:rsidR="3A7C3636" w:rsidRPr="00343881">
        <w:rPr>
          <w:vertAlign w:val="superscript"/>
        </w:rPr>
        <w:t>20</w:t>
      </w:r>
    </w:p>
    <w:p w14:paraId="0E85C1B3" w14:textId="77777777" w:rsidR="00993E0D" w:rsidRPr="00D17924" w:rsidRDefault="00993E0D" w:rsidP="00D17924">
      <w:pPr>
        <w:pStyle w:val="ListParagraph"/>
      </w:pPr>
      <w:r w:rsidRPr="00E118A3">
        <w:t xml:space="preserve">The technique was </w:t>
      </w:r>
      <w:r w:rsidRPr="00D17924">
        <w:t>found to be generally effective and had low complication rates.</w:t>
      </w:r>
    </w:p>
    <w:p w14:paraId="3C649D82" w14:textId="07552198" w:rsidR="00993E0D" w:rsidRPr="00D17924" w:rsidRDefault="00993E0D" w:rsidP="00D17924">
      <w:pPr>
        <w:pStyle w:val="ListParagraph"/>
      </w:pPr>
      <w:r w:rsidRPr="00D17924">
        <w:t>It should be noted that most studies were retrospective case series and had a low level of evidence.</w:t>
      </w:r>
    </w:p>
    <w:p w14:paraId="7AFB67E1" w14:textId="77777777" w:rsidR="00993E0D" w:rsidRPr="00E118A3" w:rsidRDefault="00993E0D" w:rsidP="00D17924">
      <w:pPr>
        <w:pStyle w:val="ListParagraph"/>
      </w:pPr>
      <w:r w:rsidRPr="00D17924">
        <w:t>Evaluation parameters were</w:t>
      </w:r>
      <w:r w:rsidRPr="00E118A3">
        <w:t xml:space="preserve"> mostly subjective.</w:t>
      </w:r>
    </w:p>
    <w:p w14:paraId="1498CF1F" w14:textId="49CE1543" w:rsidR="00CF0A81" w:rsidRPr="00767131" w:rsidRDefault="00CF0A81" w:rsidP="00B37DAA">
      <w:pPr>
        <w:pStyle w:val="Heading1"/>
      </w:pPr>
      <w:bookmarkStart w:id="12" w:name="_Toc197682828"/>
      <w:r w:rsidRPr="00767131">
        <w:lastRenderedPageBreak/>
        <w:t>Alternatives to treatment</w:t>
      </w:r>
      <w:bookmarkEnd w:id="12"/>
    </w:p>
    <w:p w14:paraId="524CDA87" w14:textId="58458106" w:rsidR="00002FCB" w:rsidRPr="00C94F36" w:rsidRDefault="00002FCB" w:rsidP="00C33A80">
      <w:pPr>
        <w:pStyle w:val="Heading2"/>
      </w:pPr>
      <w:bookmarkStart w:id="13" w:name="_Toc197682829"/>
      <w:r>
        <w:t>Alternative surgical procedures</w:t>
      </w:r>
      <w:bookmarkEnd w:id="13"/>
    </w:p>
    <w:p w14:paraId="10D0EF80" w14:textId="1DA36392" w:rsidR="00002FCB" w:rsidRPr="00E118A3" w:rsidRDefault="00002FCB" w:rsidP="00DA5B75">
      <w:r w:rsidRPr="00E118A3">
        <w:t xml:space="preserve">A systematic review by Amador </w:t>
      </w:r>
      <w:r w:rsidRPr="0063790A">
        <w:t>et al</w:t>
      </w:r>
      <w:r w:rsidR="0063790A">
        <w:t>.</w:t>
      </w:r>
      <w:r w:rsidRPr="0063790A">
        <w:t xml:space="preserve"> </w:t>
      </w:r>
      <w:r w:rsidRPr="00E118A3">
        <w:t xml:space="preserve">(2023) </w:t>
      </w:r>
      <w:r>
        <w:t>reported the following</w:t>
      </w:r>
      <w:r w:rsidR="00343881">
        <w:t>:</w:t>
      </w:r>
      <w:r w:rsidR="5A35BA2C" w:rsidRPr="3143CCF0">
        <w:rPr>
          <w:vertAlign w:val="superscript"/>
        </w:rPr>
        <w:t>2</w:t>
      </w:r>
      <w:r w:rsidR="792273DB" w:rsidRPr="3143CCF0">
        <w:rPr>
          <w:vertAlign w:val="superscript"/>
        </w:rPr>
        <w:t>1</w:t>
      </w:r>
    </w:p>
    <w:p w14:paraId="3A80C6A9" w14:textId="5B83B310" w:rsidR="00002FCB" w:rsidRPr="00C33A80" w:rsidRDefault="00002FCB" w:rsidP="00C33A80">
      <w:pPr>
        <w:pStyle w:val="ListParagraph"/>
      </w:pPr>
      <w:r w:rsidRPr="00E118A3">
        <w:t>The overall complication frequency for limited incision facelifts was 4.0</w:t>
      </w:r>
      <w:r w:rsidR="0070085F">
        <w:t> </w:t>
      </w:r>
      <w:r w:rsidRPr="00E118A3">
        <w:t>% (95</w:t>
      </w:r>
      <w:r w:rsidR="0070085F">
        <w:t> </w:t>
      </w:r>
      <w:r w:rsidRPr="00E118A3">
        <w:t xml:space="preserve">% </w:t>
      </w:r>
      <w:r>
        <w:t xml:space="preserve">confidence </w:t>
      </w:r>
      <w:r w:rsidRPr="00C33A80">
        <w:t xml:space="preserve">interval </w:t>
      </w:r>
      <w:r w:rsidR="00343881">
        <w:t>(</w:t>
      </w:r>
      <w:r w:rsidRPr="00C33A80">
        <w:t>CI</w:t>
      </w:r>
      <w:r w:rsidR="00343881">
        <w:t>)</w:t>
      </w:r>
      <w:r w:rsidRPr="00C33A80">
        <w:t xml:space="preserve"> 2.8</w:t>
      </w:r>
      <w:r w:rsidR="0070085F">
        <w:t> </w:t>
      </w:r>
      <w:r w:rsidRPr="00C33A80">
        <w:t>to 5.2</w:t>
      </w:r>
      <w:r w:rsidR="0070085F">
        <w:t> </w:t>
      </w:r>
      <w:r w:rsidRPr="00C33A80">
        <w:t>%).</w:t>
      </w:r>
    </w:p>
    <w:p w14:paraId="79520DF8" w14:textId="667954D0" w:rsidR="00002FCB" w:rsidRPr="00C33A80" w:rsidRDefault="00002FCB" w:rsidP="00C33A80">
      <w:pPr>
        <w:pStyle w:val="ListParagraph"/>
      </w:pPr>
      <w:r w:rsidRPr="00C33A80">
        <w:t>The use of a drain or sealant was associated with a decreased complication frequency of 2.6</w:t>
      </w:r>
      <w:r w:rsidR="0070085F">
        <w:t> </w:t>
      </w:r>
      <w:r w:rsidRPr="00C33A80">
        <w:t>% (95</w:t>
      </w:r>
      <w:r w:rsidR="0070085F">
        <w:t> </w:t>
      </w:r>
      <w:r w:rsidRPr="00C33A80">
        <w:t>% CI 1.0 to 4.2</w:t>
      </w:r>
      <w:r w:rsidR="0070085F">
        <w:t> </w:t>
      </w:r>
      <w:r w:rsidRPr="00C33A80">
        <w:t xml:space="preserve">%) compared </w:t>
      </w:r>
      <w:r w:rsidR="00343881">
        <w:t>with</w:t>
      </w:r>
      <w:r w:rsidR="00343881" w:rsidRPr="00C33A80">
        <w:t xml:space="preserve"> </w:t>
      </w:r>
      <w:r w:rsidRPr="00C33A80">
        <w:t>5.0</w:t>
      </w:r>
      <w:r w:rsidR="0070085F">
        <w:t> </w:t>
      </w:r>
      <w:r w:rsidRPr="00C33A80">
        <w:t>% (95</w:t>
      </w:r>
      <w:r w:rsidR="0070085F">
        <w:t> </w:t>
      </w:r>
      <w:r w:rsidRPr="00C33A80">
        <w:t>% CI 3.4 to 6.6</w:t>
      </w:r>
      <w:r w:rsidR="0070085F">
        <w:t> </w:t>
      </w:r>
      <w:r w:rsidRPr="00C33A80">
        <w:t>%) in studies using no drain or sealant (p=0.04).</w:t>
      </w:r>
    </w:p>
    <w:p w14:paraId="5BEED55C" w14:textId="37CB7E55" w:rsidR="00002FCB" w:rsidRPr="00C33A80" w:rsidRDefault="00A5125A" w:rsidP="00C33A80">
      <w:pPr>
        <w:pStyle w:val="ListParagraph"/>
      </w:pPr>
      <w:r>
        <w:t>N</w:t>
      </w:r>
      <w:r w:rsidRPr="00C33A80">
        <w:t>o</w:t>
      </w:r>
      <w:r>
        <w:t xml:space="preserve"> </w:t>
      </w:r>
      <w:r w:rsidR="00002FCB" w:rsidRPr="00C33A80">
        <w:t xml:space="preserve">associations </w:t>
      </w:r>
      <w:r>
        <w:t xml:space="preserve">were </w:t>
      </w:r>
      <w:r w:rsidR="00002FCB" w:rsidRPr="00C33A80">
        <w:t>found between complications and incision type or anaesthetic approach.</w:t>
      </w:r>
    </w:p>
    <w:p w14:paraId="747C0468" w14:textId="14BA4B30" w:rsidR="00002FCB" w:rsidRPr="00C33A80" w:rsidRDefault="00002FCB" w:rsidP="00C33A80">
      <w:pPr>
        <w:pStyle w:val="ListParagraph"/>
      </w:pPr>
      <w:r w:rsidRPr="00C33A80">
        <w:t>There was a 2.3</w:t>
      </w:r>
      <w:r w:rsidR="00767470">
        <w:t> </w:t>
      </w:r>
      <w:r w:rsidRPr="00C33A80">
        <w:t>% haematoma frequency (95</w:t>
      </w:r>
      <w:r w:rsidR="00767470">
        <w:t> </w:t>
      </w:r>
      <w:r w:rsidRPr="00C33A80">
        <w:t>% CI 1.5 to 3.0</w:t>
      </w:r>
      <w:r w:rsidR="00767470">
        <w:t> </w:t>
      </w:r>
      <w:r w:rsidRPr="00C33A80">
        <w:t>%), with the next most common complication described as temporary nerve injury or neuropraxia with a rate of 0.2</w:t>
      </w:r>
      <w:r w:rsidR="00767470">
        <w:t> </w:t>
      </w:r>
      <w:r w:rsidRPr="00C33A80">
        <w:t>% (95% CI 0.1 to 0.4</w:t>
      </w:r>
      <w:r w:rsidR="00767470">
        <w:t> </w:t>
      </w:r>
      <w:r w:rsidRPr="00C33A80">
        <w:t>%).</w:t>
      </w:r>
    </w:p>
    <w:p w14:paraId="54C20FC1" w14:textId="4EC5C454" w:rsidR="00002FCB" w:rsidRPr="00C33A80" w:rsidRDefault="00002FCB" w:rsidP="00C33A80">
      <w:pPr>
        <w:pStyle w:val="ListParagraph"/>
      </w:pPr>
      <w:r w:rsidRPr="00C33A80">
        <w:t>The frequency of skin necrosis or non-healing wounds was 0.2</w:t>
      </w:r>
      <w:r w:rsidR="00767470">
        <w:t> </w:t>
      </w:r>
      <w:r w:rsidRPr="00C33A80">
        <w:t>% (95%</w:t>
      </w:r>
      <w:r w:rsidR="00767470">
        <w:t> </w:t>
      </w:r>
      <w:r w:rsidRPr="00C33A80">
        <w:t xml:space="preserve"> CI 0.1 to 0.04</w:t>
      </w:r>
      <w:r w:rsidR="00767470">
        <w:t> </w:t>
      </w:r>
      <w:r w:rsidRPr="00C33A80">
        <w:t>%).</w:t>
      </w:r>
    </w:p>
    <w:p w14:paraId="33E33043" w14:textId="1EB4A0CD" w:rsidR="00002FCB" w:rsidRPr="00C33A80" w:rsidRDefault="00002FCB" w:rsidP="00C33A80">
      <w:pPr>
        <w:pStyle w:val="ListParagraph"/>
      </w:pPr>
      <w:r w:rsidRPr="00C33A80">
        <w:t>No permanent nerve injuries were described.</w:t>
      </w:r>
    </w:p>
    <w:p w14:paraId="2DBF4951" w14:textId="75A0FC7B" w:rsidR="00002FCB" w:rsidRPr="00E118A3" w:rsidRDefault="00002FCB" w:rsidP="00C33A80">
      <w:pPr>
        <w:pStyle w:val="ListParagraph"/>
      </w:pPr>
      <w:r w:rsidRPr="00C33A80">
        <w:t>Other less commonly</w:t>
      </w:r>
      <w:r w:rsidRPr="00E118A3">
        <w:t xml:space="preserve"> described complications included widening or hypertrophic scars, dog ear deformities (all within patients undergoing preauricular limited incisions), skin dimpling, three cases of parotid fistula, and a deep venous thrombosis in a patient undergoing multiple concomitant body procedures.</w:t>
      </w:r>
    </w:p>
    <w:p w14:paraId="40A3A0D8" w14:textId="082B19B1" w:rsidR="00002FCB" w:rsidRPr="007518AF" w:rsidRDefault="00002FCB" w:rsidP="00C33A80">
      <w:pPr>
        <w:pStyle w:val="Heading2"/>
      </w:pPr>
      <w:bookmarkStart w:id="14" w:name="_Toc197682830"/>
      <w:r w:rsidRPr="007518AF">
        <w:t>Alternative treatments to surgery</w:t>
      </w:r>
      <w:bookmarkEnd w:id="14"/>
    </w:p>
    <w:p w14:paraId="605E6319" w14:textId="1818EE37" w:rsidR="00002FCB" w:rsidRPr="00E118A3" w:rsidRDefault="00002FCB" w:rsidP="00002FCB">
      <w:r w:rsidRPr="00E118A3">
        <w:t>The BMJ Best Practice evidence overview (2022) also discusses similar procedures in their topic on wrinkles.</w:t>
      </w:r>
      <w:r w:rsidR="52EA4BEF" w:rsidRPr="3143CCF0">
        <w:rPr>
          <w:vertAlign w:val="superscript"/>
        </w:rPr>
        <w:t>10</w:t>
      </w:r>
      <w:r w:rsidRPr="00E118A3">
        <w:t xml:space="preserve"> The pros and cons of a range of procedures are discussed. Procedures covered include topical retinoids, antioxidants, chemical peels, Botox, fillers, dermabrasion, laser ablation and autologous fat grafting.</w:t>
      </w:r>
    </w:p>
    <w:p w14:paraId="200C8DC0" w14:textId="2367D6AE" w:rsidR="00002FCB" w:rsidRPr="00E118A3" w:rsidRDefault="00002FCB" w:rsidP="00002FCB">
      <w:r w:rsidRPr="00E118A3">
        <w:t>Dyna</w:t>
      </w:r>
      <w:r>
        <w:t>M</w:t>
      </w:r>
      <w:r w:rsidRPr="00E118A3">
        <w:t>ed provides a 2025 evidence overview on cosmetic skin resurfacing covering a list of procedures</w:t>
      </w:r>
      <w:r w:rsidR="00A5125A">
        <w:t>,</w:t>
      </w:r>
      <w:r w:rsidRPr="00E118A3">
        <w:t xml:space="preserve"> including laser and light-based therapies, chemical peels, dermabrasion, and microneedling.</w:t>
      </w:r>
      <w:r w:rsidR="5A35BA2C" w:rsidRPr="3143CCF0">
        <w:rPr>
          <w:vertAlign w:val="superscript"/>
        </w:rPr>
        <w:t>2</w:t>
      </w:r>
      <w:r w:rsidR="113675BC" w:rsidRPr="3143CCF0">
        <w:rPr>
          <w:vertAlign w:val="superscript"/>
        </w:rPr>
        <w:t>2</w:t>
      </w:r>
      <w:r w:rsidRPr="00E118A3">
        <w:t> Other modalities are less commonly used</w:t>
      </w:r>
      <w:r w:rsidR="00A5125A">
        <w:t>,</w:t>
      </w:r>
      <w:r w:rsidRPr="00E118A3">
        <w:t xml:space="preserve"> including radiofrequency or ultrasound-based techniques, plasma resurfacing devices</w:t>
      </w:r>
      <w:r>
        <w:t xml:space="preserve"> and</w:t>
      </w:r>
      <w:r w:rsidRPr="00E118A3">
        <w:t xml:space="preserve"> platelet-rich plasma injections.</w:t>
      </w:r>
      <w:r>
        <w:t xml:space="preserve"> </w:t>
      </w:r>
      <w:r w:rsidRPr="00E118A3">
        <w:t>Dyna</w:t>
      </w:r>
      <w:r>
        <w:t>M</w:t>
      </w:r>
      <w:r w:rsidRPr="00E118A3">
        <w:t xml:space="preserve">ed summarises </w:t>
      </w:r>
      <w:r>
        <w:t>as follows.</w:t>
      </w:r>
    </w:p>
    <w:p w14:paraId="1CA6C629" w14:textId="49E32EC7" w:rsidR="00002FCB" w:rsidRPr="00E118A3" w:rsidRDefault="00002FCB" w:rsidP="00C33A80">
      <w:pPr>
        <w:pStyle w:val="ListParagraph"/>
      </w:pPr>
      <w:r w:rsidRPr="00E118A3">
        <w:t xml:space="preserve">In general, ablative techniques are associated with more pronounced effects and </w:t>
      </w:r>
      <w:r w:rsidR="00A5125A">
        <w:t xml:space="preserve">a </w:t>
      </w:r>
      <w:r w:rsidRPr="00E118A3">
        <w:t>greater degree of skin remodelling but may have more side effects.</w:t>
      </w:r>
    </w:p>
    <w:p w14:paraId="450CCA57" w14:textId="075F0ED5" w:rsidR="00002FCB" w:rsidRPr="00E118A3" w:rsidRDefault="00002FCB" w:rsidP="00C33A80">
      <w:pPr>
        <w:pStyle w:val="ListParagraph"/>
      </w:pPr>
      <w:r w:rsidRPr="00E118A3">
        <w:t>Non</w:t>
      </w:r>
      <w:r w:rsidR="009460BB">
        <w:t>-ablative</w:t>
      </w:r>
      <w:r w:rsidRPr="00E118A3">
        <w:t xml:space="preserve"> techniques tend to have fewer side effects but may have only incremental benefits and require multiple treatments to achieve the desired effect.</w:t>
      </w:r>
    </w:p>
    <w:p w14:paraId="16BB5555" w14:textId="071DAE07" w:rsidR="00002FCB" w:rsidRPr="00E118A3" w:rsidRDefault="00002FCB" w:rsidP="00C33A80">
      <w:pPr>
        <w:pStyle w:val="ListParagraph"/>
      </w:pPr>
      <w:r w:rsidRPr="00E118A3">
        <w:t>Procedures are generally well tolerated with few serious adverse effects.</w:t>
      </w:r>
    </w:p>
    <w:p w14:paraId="2BC55CAC" w14:textId="18A9F173" w:rsidR="00002FCB" w:rsidRPr="00E118A3" w:rsidRDefault="00002FCB" w:rsidP="00C33A80">
      <w:pPr>
        <w:pStyle w:val="ListParagraph"/>
      </w:pPr>
      <w:r w:rsidRPr="00E118A3">
        <w:lastRenderedPageBreak/>
        <w:t>Potential complications may include erythema and oedema (almost universal but typically transient), dyspigmentation, periocular injury</w:t>
      </w:r>
      <w:r>
        <w:t xml:space="preserve"> </w:t>
      </w:r>
      <w:r w:rsidRPr="00E118A3">
        <w:t>or infection (typically bacterial or viral, but fungal also possible).</w:t>
      </w:r>
    </w:p>
    <w:p w14:paraId="4D80EE34" w14:textId="4B229581" w:rsidR="00002FCB" w:rsidRPr="00E118A3" w:rsidRDefault="00002FCB" w:rsidP="00C33A80">
      <w:pPr>
        <w:pStyle w:val="ListParagraph"/>
      </w:pPr>
      <w:r w:rsidRPr="00E118A3">
        <w:t>Rarely, more persistent complications</w:t>
      </w:r>
      <w:r w:rsidR="00A5125A">
        <w:t>,</w:t>
      </w:r>
      <w:r w:rsidRPr="00E118A3">
        <w:t xml:space="preserve"> such as scarring</w:t>
      </w:r>
      <w:r w:rsidR="00A5125A">
        <w:t>,</w:t>
      </w:r>
      <w:r w:rsidRPr="00E118A3">
        <w:t xml:space="preserve"> may occur.</w:t>
      </w:r>
    </w:p>
    <w:p w14:paraId="663F11D0" w14:textId="77777777" w:rsidR="00002FCB" w:rsidRPr="00B37DAA" w:rsidRDefault="00002FCB" w:rsidP="00B37DAA">
      <w:pPr>
        <w:pStyle w:val="Heading3"/>
      </w:pPr>
      <w:bookmarkStart w:id="15" w:name="_Toc197682831"/>
      <w:r w:rsidRPr="00B37DAA">
        <w:t>Botulinum toxin A (Botox)</w:t>
      </w:r>
      <w:bookmarkEnd w:id="15"/>
    </w:p>
    <w:p w14:paraId="1C9B38FF" w14:textId="5758E8A0" w:rsidR="00002FCB" w:rsidRPr="002F590E" w:rsidRDefault="00002FCB" w:rsidP="00002FCB">
      <w:r w:rsidRPr="002F590E">
        <w:t xml:space="preserve">An Italian consensus report by Signorini </w:t>
      </w:r>
      <w:r w:rsidRPr="0063790A">
        <w:t>et al</w:t>
      </w:r>
      <w:r w:rsidR="0063790A">
        <w:t>.</w:t>
      </w:r>
      <w:r w:rsidRPr="002F590E">
        <w:t xml:space="preserve"> (2022) states that </w:t>
      </w:r>
      <w:r>
        <w:t>b</w:t>
      </w:r>
      <w:r w:rsidRPr="002F590E">
        <w:t>otulinum neurotoxin type A is the most widely used non</w:t>
      </w:r>
      <w:r w:rsidR="009460BB">
        <w:t>-surgical</w:t>
      </w:r>
      <w:r w:rsidRPr="002F590E">
        <w:t xml:space="preserve"> treatment for aesthetic improvement of the face and neck.</w:t>
      </w:r>
      <w:r w:rsidR="5A35BA2C" w:rsidRPr="3143CCF0">
        <w:rPr>
          <w:vertAlign w:val="superscript"/>
        </w:rPr>
        <w:t>2</w:t>
      </w:r>
      <w:r w:rsidR="49DF8E4C" w:rsidRPr="3143CCF0">
        <w:rPr>
          <w:vertAlign w:val="superscript"/>
        </w:rPr>
        <w:t>3</w:t>
      </w:r>
      <w:r w:rsidRPr="002F590E">
        <w:rPr>
          <w:vertAlign w:val="superscript"/>
        </w:rPr>
        <w:t xml:space="preserve"> </w:t>
      </w:r>
      <w:r w:rsidRPr="002F590E">
        <w:t>The report provides recommendations on patient assessment, reconstitution of botulinum toxin A, and preferred procedures across a variety of treatment areas.</w:t>
      </w:r>
    </w:p>
    <w:p w14:paraId="09E65FB6" w14:textId="77777777" w:rsidR="00002FCB" w:rsidRPr="00643861" w:rsidRDefault="00002FCB" w:rsidP="00B37DAA">
      <w:pPr>
        <w:pStyle w:val="Heading3"/>
      </w:pPr>
      <w:bookmarkStart w:id="16" w:name="_Toc197682832"/>
      <w:r w:rsidRPr="00643861">
        <w:t>Thread lifting</w:t>
      </w:r>
      <w:bookmarkEnd w:id="16"/>
    </w:p>
    <w:p w14:paraId="65F2911F" w14:textId="334683CE" w:rsidR="00002FCB" w:rsidRPr="002E4AD9" w:rsidRDefault="00002FCB" w:rsidP="00002FCB">
      <w:r w:rsidRPr="00643861">
        <w:t xml:space="preserve">A review of complications from thread lifting was published by Yi </w:t>
      </w:r>
      <w:r w:rsidRPr="0063790A">
        <w:t>et al</w:t>
      </w:r>
      <w:r w:rsidR="0063790A">
        <w:t>.</w:t>
      </w:r>
      <w:r w:rsidRPr="00643861">
        <w:t xml:space="preserve"> (2025).</w:t>
      </w:r>
      <w:r w:rsidR="5A35BA2C" w:rsidRPr="3143CCF0">
        <w:rPr>
          <w:vertAlign w:val="superscript"/>
        </w:rPr>
        <w:t>2</w:t>
      </w:r>
      <w:r w:rsidR="5D8D3592" w:rsidRPr="3143CCF0">
        <w:rPr>
          <w:vertAlign w:val="superscript"/>
        </w:rPr>
        <w:t>4</w:t>
      </w:r>
      <w:r w:rsidRPr="00643861">
        <w:t xml:space="preserve"> Common complications included bruising, pain, swelling, bleeding</w:t>
      </w:r>
      <w:r>
        <w:t xml:space="preserve"> and</w:t>
      </w:r>
      <w:r w:rsidRPr="00643861">
        <w:t xml:space="preserve"> dimpling, often arising from improper technique or anatomical factors. Severe issues such as infection, granuloma, thread migration, nerve damage</w:t>
      </w:r>
      <w:r>
        <w:t xml:space="preserve"> and</w:t>
      </w:r>
      <w:r w:rsidRPr="00643861">
        <w:t xml:space="preserve"> parotid gland injuries were less frequent but posed significant challenges.</w:t>
      </w:r>
    </w:p>
    <w:p w14:paraId="25B64175" w14:textId="77777777" w:rsidR="00002FCB" w:rsidRPr="002E4AD9" w:rsidRDefault="00002FCB" w:rsidP="00B37DAA">
      <w:pPr>
        <w:pStyle w:val="Heading3"/>
      </w:pPr>
      <w:bookmarkStart w:id="17" w:name="_Toc197682833"/>
      <w:r w:rsidRPr="002E4AD9">
        <w:t>Ultrasound therapy</w:t>
      </w:r>
      <w:bookmarkEnd w:id="17"/>
    </w:p>
    <w:p w14:paraId="5BF9EE42" w14:textId="333B439D" w:rsidR="00002FCB" w:rsidRPr="00E118A3" w:rsidRDefault="00002FCB" w:rsidP="00AF3B75">
      <w:r w:rsidRPr="00E118A3">
        <w:t xml:space="preserve">Contini </w:t>
      </w:r>
      <w:r w:rsidRPr="0063790A">
        <w:t>et al</w:t>
      </w:r>
      <w:r w:rsidR="0063790A">
        <w:t>.</w:t>
      </w:r>
      <w:r w:rsidRPr="0063790A">
        <w:t>’s</w:t>
      </w:r>
      <w:r w:rsidRPr="00E118A3">
        <w:t xml:space="preserve"> 2023 systematic review of the efficacy of microfocused ultrasound (MFU) for facial skin tightening</w:t>
      </w:r>
      <w:r>
        <w:t xml:space="preserve"> reported the following.</w:t>
      </w:r>
      <w:r w:rsidRPr="00E118A3">
        <w:rPr>
          <w:vertAlign w:val="superscript"/>
        </w:rPr>
        <w:t>25</w:t>
      </w:r>
    </w:p>
    <w:p w14:paraId="1E364221" w14:textId="52A2D554" w:rsidR="00002FCB" w:rsidRPr="00874774" w:rsidRDefault="00002FCB" w:rsidP="00874774">
      <w:pPr>
        <w:pStyle w:val="ListParagraph"/>
      </w:pPr>
      <w:r w:rsidRPr="00874774">
        <w:t xml:space="preserve">Microfocused ultrasound </w:t>
      </w:r>
      <w:proofErr w:type="gramStart"/>
      <w:r w:rsidRPr="00874774">
        <w:t>is capable of tightening</w:t>
      </w:r>
      <w:proofErr w:type="gramEnd"/>
      <w:r w:rsidRPr="00874774">
        <w:t xml:space="preserve"> the skin, as observed in studies measuring the results of brow lifts (0.47 to 1.7 mm) and submental lifts (measured as a 26 to 45 mm</w:t>
      </w:r>
      <w:r w:rsidRPr="00021085">
        <w:rPr>
          <w:vertAlign w:val="superscript"/>
        </w:rPr>
        <w:t>2</w:t>
      </w:r>
      <w:r w:rsidRPr="00874774">
        <w:t xml:space="preserve"> reduction in the submental area on lateral photographs).</w:t>
      </w:r>
    </w:p>
    <w:p w14:paraId="2293B1E6" w14:textId="2B8666EE" w:rsidR="00002FCB" w:rsidRPr="00874774" w:rsidRDefault="00002FCB" w:rsidP="00874774">
      <w:pPr>
        <w:pStyle w:val="ListParagraph"/>
      </w:pPr>
      <w:r w:rsidRPr="00874774">
        <w:t>Data from the Global Aesthetic Improvement Scale (GAIS) were pooled, and the day 90 pooled subjective investigator</w:t>
      </w:r>
      <w:r w:rsidR="00D30B4A">
        <w:t>-</w:t>
      </w:r>
      <w:r w:rsidRPr="00874774">
        <w:t>reported GAIS scores (n=337) showed that 92</w:t>
      </w:r>
      <w:r w:rsidR="00874774">
        <w:t> </w:t>
      </w:r>
      <w:r w:rsidRPr="00874774">
        <w:t>% of the patients demonstrated an improvement in skin tightening or in wrinkle reduction</w:t>
      </w:r>
      <w:r w:rsidR="00D30B4A">
        <w:t>,</w:t>
      </w:r>
      <w:r w:rsidRPr="00874774">
        <w:t xml:space="preserve"> which continued up to 1 year. Longer-term follow-up data are not available.</w:t>
      </w:r>
    </w:p>
    <w:p w14:paraId="171C8A17" w14:textId="5E277BBF" w:rsidR="00002FCB" w:rsidRPr="00874774" w:rsidRDefault="00002FCB" w:rsidP="00874774">
      <w:pPr>
        <w:pStyle w:val="ListParagraph"/>
      </w:pPr>
      <w:r w:rsidRPr="00874774">
        <w:t>The patient</w:t>
      </w:r>
      <w:r w:rsidR="00D30B4A">
        <w:t>-</w:t>
      </w:r>
      <w:r w:rsidRPr="00874774">
        <w:t>reported pooled scores (n=81) showed that the skin improvements were mild and continued to increase from 42</w:t>
      </w:r>
      <w:r w:rsidR="00874774">
        <w:t> </w:t>
      </w:r>
      <w:r w:rsidRPr="00874774">
        <w:t>% (90 days) to 53</w:t>
      </w:r>
      <w:r w:rsidR="00874774">
        <w:t> </w:t>
      </w:r>
      <w:r w:rsidRPr="00874774">
        <w:t xml:space="preserve">% (360 days) </w:t>
      </w:r>
      <w:r w:rsidR="00A80BED">
        <w:t xml:space="preserve">after </w:t>
      </w:r>
      <w:r w:rsidRPr="00874774">
        <w:t>treatment.</w:t>
      </w:r>
    </w:p>
    <w:p w14:paraId="3CEA5D69" w14:textId="2AD199A6" w:rsidR="00002FCB" w:rsidRPr="00874774" w:rsidRDefault="00002FCB" w:rsidP="00874774">
      <w:pPr>
        <w:pStyle w:val="ListParagraph"/>
      </w:pPr>
      <w:r w:rsidRPr="00874774">
        <w:t>The MFU treatment was moderately painful and caused transient erythema with or without oedema. Other adverse effects were rare (2</w:t>
      </w:r>
      <w:r w:rsidR="00C444E4">
        <w:t> </w:t>
      </w:r>
      <w:r w:rsidRPr="00874774">
        <w:t>%), including dysaesthesia (numbness or hypersensitivity), bruising and stinging, mandibular burns, striations and contact dermatitis.</w:t>
      </w:r>
    </w:p>
    <w:p w14:paraId="060E62CF" w14:textId="3F90B282" w:rsidR="00002FCB" w:rsidRPr="00E118A3" w:rsidRDefault="00002FCB" w:rsidP="00874774">
      <w:pPr>
        <w:pStyle w:val="ListParagraph"/>
      </w:pPr>
      <w:r w:rsidRPr="00874774">
        <w:t xml:space="preserve">Excessive skin laxity and a BMI greater than 30 were posed as relative contraindications for MFU treatment because positive results declined with an increase </w:t>
      </w:r>
      <w:r w:rsidRPr="00E118A3">
        <w:t>in laxity and BMI.</w:t>
      </w:r>
    </w:p>
    <w:p w14:paraId="7091F0DC" w14:textId="039DA658" w:rsidR="00002FCB" w:rsidRPr="00E118A3" w:rsidRDefault="00002FCB" w:rsidP="00C444E4">
      <w:r w:rsidRPr="00E118A3">
        <w:t xml:space="preserve">Humphrey </w:t>
      </w:r>
      <w:r w:rsidRPr="0063790A">
        <w:t>et al</w:t>
      </w:r>
      <w:r w:rsidR="0063790A">
        <w:t>.</w:t>
      </w:r>
      <w:r w:rsidRPr="00E118A3">
        <w:t xml:space="preserve"> (2024) conducted a systematic review of treatment-related adverse events (TRAEs) and risk of subsequent facelift compromise in microfocused ultrasound with visuali</w:t>
      </w:r>
      <w:r>
        <w:t>s</w:t>
      </w:r>
      <w:r w:rsidRPr="00E118A3">
        <w:t>ation (MFY-V).</w:t>
      </w:r>
      <w:r w:rsidR="5A35BA2C" w:rsidRPr="00E118A3">
        <w:rPr>
          <w:vertAlign w:val="superscript"/>
        </w:rPr>
        <w:t>2</w:t>
      </w:r>
      <w:r w:rsidR="6D1E4C18" w:rsidRPr="00E118A3">
        <w:rPr>
          <w:vertAlign w:val="superscript"/>
        </w:rPr>
        <w:t>6</w:t>
      </w:r>
      <w:r w:rsidRPr="00E118A3">
        <w:t xml:space="preserve"> They identified th</w:t>
      </w:r>
      <w:r>
        <w:t>e following.</w:t>
      </w:r>
    </w:p>
    <w:p w14:paraId="29D22654" w14:textId="2D1CF3E7" w:rsidR="00002FCB" w:rsidRPr="00706515" w:rsidRDefault="00002FCB" w:rsidP="00706515">
      <w:pPr>
        <w:pStyle w:val="ListParagraph"/>
      </w:pPr>
      <w:r w:rsidRPr="00706515">
        <w:lastRenderedPageBreak/>
        <w:t>Transient oedema, erythema and postprocedural pain were observed most often.</w:t>
      </w:r>
    </w:p>
    <w:p w14:paraId="7E152879" w14:textId="4AC5B41E" w:rsidR="00002FCB" w:rsidRPr="00706515" w:rsidRDefault="00002FCB" w:rsidP="00706515">
      <w:pPr>
        <w:pStyle w:val="ListParagraph"/>
      </w:pPr>
      <w:r w:rsidRPr="00706515">
        <w:t>Instances of significant TRAEs were limited in the scientific literature, apart from one case of subcutaneous atrophy.</w:t>
      </w:r>
    </w:p>
    <w:p w14:paraId="0CBEA07F" w14:textId="1D9BBC84" w:rsidR="00002FCB" w:rsidRPr="00706515" w:rsidRDefault="00002FCB" w:rsidP="00706515">
      <w:pPr>
        <w:pStyle w:val="ListParagraph"/>
      </w:pPr>
      <w:r w:rsidRPr="00706515">
        <w:t>Lipoatrophy, neurologic sequelae (including nerve damage, focal numbness, dysaesthesia, and ptosis), and scarring were reported with the most frequency.</w:t>
      </w:r>
    </w:p>
    <w:p w14:paraId="081FE967" w14:textId="77777777" w:rsidR="00002FCB" w:rsidRPr="00E118A3" w:rsidRDefault="00002FCB" w:rsidP="00706515">
      <w:pPr>
        <w:pStyle w:val="ListParagraph"/>
      </w:pPr>
      <w:r w:rsidRPr="00706515">
        <w:t>There was</w:t>
      </w:r>
      <w:r w:rsidRPr="00E118A3">
        <w:t xml:space="preserve"> one report of facelift compromise.</w:t>
      </w:r>
    </w:p>
    <w:p w14:paraId="69BA0006" w14:textId="77777777" w:rsidR="00002FCB" w:rsidRPr="002C29A1" w:rsidRDefault="00002FCB" w:rsidP="00B37DAA">
      <w:pPr>
        <w:pStyle w:val="Heading3"/>
      </w:pPr>
      <w:bookmarkStart w:id="18" w:name="_Toc197682834"/>
      <w:r w:rsidRPr="002C29A1">
        <w:t>Endo-lift laser</w:t>
      </w:r>
      <w:bookmarkEnd w:id="18"/>
    </w:p>
    <w:p w14:paraId="1F9FD2FA" w14:textId="7098958E" w:rsidR="00002FCB" w:rsidRPr="00E118A3" w:rsidRDefault="00002FCB" w:rsidP="00706515">
      <w:r w:rsidRPr="00E118A3">
        <w:t xml:space="preserve">A systematic review by Nilforoushzadeh </w:t>
      </w:r>
      <w:r w:rsidRPr="0063790A">
        <w:t>et al</w:t>
      </w:r>
      <w:r w:rsidR="0063790A">
        <w:t>.</w:t>
      </w:r>
      <w:r w:rsidRPr="00E118A3">
        <w:t xml:space="preserve"> (2024) on </w:t>
      </w:r>
      <w:r w:rsidR="00D848E6">
        <w:t xml:space="preserve">the </w:t>
      </w:r>
      <w:r w:rsidRPr="00E118A3">
        <w:t>use of the endo-lift laser (Intralesional 1</w:t>
      </w:r>
      <w:r w:rsidR="00521111">
        <w:t>,470</w:t>
      </w:r>
      <w:r>
        <w:t> </w:t>
      </w:r>
      <w:r w:rsidRPr="00E118A3">
        <w:t xml:space="preserve">nm Diode Laser) for dermatological aesthetic conditions concluded </w:t>
      </w:r>
      <w:r>
        <w:t>the following.</w:t>
      </w:r>
      <w:r w:rsidR="5A35BA2C" w:rsidRPr="00E118A3">
        <w:rPr>
          <w:vertAlign w:val="superscript"/>
        </w:rPr>
        <w:t>2</w:t>
      </w:r>
      <w:r w:rsidR="56FA3537" w:rsidRPr="00E118A3">
        <w:rPr>
          <w:vertAlign w:val="superscript"/>
        </w:rPr>
        <w:t>7</w:t>
      </w:r>
    </w:p>
    <w:p w14:paraId="516D90C5" w14:textId="7A9BD0B7" w:rsidR="00002FCB" w:rsidRPr="00706515" w:rsidRDefault="00002FCB" w:rsidP="00706515">
      <w:pPr>
        <w:pStyle w:val="ListParagraph"/>
      </w:pPr>
      <w:r w:rsidRPr="00E118A3">
        <w:t xml:space="preserve">Applying the </w:t>
      </w:r>
      <w:r w:rsidRPr="001904A1">
        <w:t xml:space="preserve">endo-lift </w:t>
      </w:r>
      <w:r w:rsidRPr="00706515">
        <w:t>laser method had a favourable efficacy and safety profile.</w:t>
      </w:r>
    </w:p>
    <w:p w14:paraId="7357A822" w14:textId="46A30899" w:rsidR="00002FCB" w:rsidRPr="00706515" w:rsidRDefault="00002FCB" w:rsidP="00706515">
      <w:pPr>
        <w:pStyle w:val="ListParagraph"/>
      </w:pPr>
      <w:r w:rsidRPr="00706515">
        <w:t>Most studies showed that the endo-lift laser method is promising in eliminating adipose tissue in the jowl, abdomen, thighs and arms.</w:t>
      </w:r>
    </w:p>
    <w:p w14:paraId="04DA2700" w14:textId="778DA2D4" w:rsidR="00002FCB" w:rsidRPr="00706515" w:rsidRDefault="00002FCB" w:rsidP="00706515">
      <w:pPr>
        <w:pStyle w:val="ListParagraph"/>
      </w:pPr>
      <w:r w:rsidRPr="00706515">
        <w:t>The endo-lift laser technique was also efficacious in blepharoplastic procedures, including treating eyelid and eyebrow ptosis, eye bag, eyebrow position and eyelid laxity.</w:t>
      </w:r>
    </w:p>
    <w:p w14:paraId="4016EE36" w14:textId="3F111870" w:rsidR="00002FCB" w:rsidRPr="00706515" w:rsidRDefault="00002FCB" w:rsidP="00706515">
      <w:pPr>
        <w:pStyle w:val="ListParagraph"/>
      </w:pPr>
      <w:r w:rsidRPr="00706515">
        <w:t xml:space="preserve">Across all studies, the adverse events were mild and </w:t>
      </w:r>
      <w:proofErr w:type="spellStart"/>
      <w:r w:rsidRPr="00706515">
        <w:t>self</w:t>
      </w:r>
      <w:r w:rsidR="009460BB">
        <w:t xml:space="preserve"> </w:t>
      </w:r>
      <w:r w:rsidRPr="00706515">
        <w:t>limiting</w:t>
      </w:r>
      <w:proofErr w:type="spellEnd"/>
      <w:r w:rsidRPr="00706515">
        <w:t>.</w:t>
      </w:r>
    </w:p>
    <w:p w14:paraId="4ABD64D5" w14:textId="77777777" w:rsidR="00002FCB" w:rsidRPr="00E118A3" w:rsidRDefault="00002FCB" w:rsidP="00706515">
      <w:pPr>
        <w:pStyle w:val="ListParagraph"/>
      </w:pPr>
      <w:r w:rsidRPr="00706515">
        <w:t>Investigating the endo-lift laser method in all aesthetic and therapeutic indications resulted in high patient satisfaction</w:t>
      </w:r>
      <w:r w:rsidRPr="00E118A3">
        <w:t xml:space="preserve"> rates.</w:t>
      </w:r>
    </w:p>
    <w:p w14:paraId="2A49780D" w14:textId="77777777" w:rsidR="00666514" w:rsidRPr="001636EF" w:rsidRDefault="00666514">
      <w:r w:rsidRPr="001636EF">
        <w:br w:type="page"/>
      </w:r>
    </w:p>
    <w:p w14:paraId="09B6E15E" w14:textId="77777777" w:rsidR="00666514" w:rsidRPr="001636EF" w:rsidRDefault="00666514" w:rsidP="00B37DAA">
      <w:pPr>
        <w:pStyle w:val="Heading1"/>
      </w:pPr>
      <w:bookmarkStart w:id="19" w:name="_Toc197682835"/>
      <w:r w:rsidRPr="001636EF">
        <w:lastRenderedPageBreak/>
        <w:t>References</w:t>
      </w:r>
      <w:bookmarkEnd w:id="19"/>
    </w:p>
    <w:p w14:paraId="6FF41D68" w14:textId="30069E31" w:rsidR="0020384B" w:rsidRPr="00E118A3" w:rsidRDefault="00F5425C" w:rsidP="00706515">
      <w:pPr>
        <w:pStyle w:val="ListParagraph"/>
        <w:numPr>
          <w:ilvl w:val="0"/>
          <w:numId w:val="8"/>
        </w:numPr>
        <w:spacing w:line="259" w:lineRule="auto"/>
        <w:ind w:left="426"/>
        <w:contextualSpacing/>
      </w:pPr>
      <w:bookmarkStart w:id="20" w:name="_Hlk197072085"/>
      <w:r w:rsidRPr="00F5425C">
        <w:rPr>
          <w:rFonts w:eastAsia="Times New Roman"/>
          <w:kern w:val="0"/>
          <w14:ligatures w14:val="none"/>
        </w:rPr>
        <w:t>British Association of Plastic, Reconstructive and Aesthetic Surgeons (BAPRAS)</w:t>
      </w:r>
      <w:r>
        <w:rPr>
          <w:rFonts w:eastAsia="Times New Roman"/>
          <w:kern w:val="0"/>
          <w14:ligatures w14:val="none"/>
        </w:rPr>
        <w:t xml:space="preserve"> a</w:t>
      </w:r>
      <w:r w:rsidR="0020384B" w:rsidRPr="00E118A3">
        <w:rPr>
          <w:rFonts w:eastAsia="Times New Roman"/>
          <w:kern w:val="0"/>
          <w14:ligatures w14:val="none"/>
        </w:rPr>
        <w:t>nd NHS Modernisation Agency</w:t>
      </w:r>
      <w:r w:rsidR="06099ECB" w:rsidRPr="00E118A3">
        <w:rPr>
          <w:rFonts w:eastAsia="Times New Roman"/>
          <w:kern w:val="0"/>
          <w14:ligatures w14:val="none"/>
        </w:rPr>
        <w:t>.</w:t>
      </w:r>
      <w:r w:rsidR="0020384B" w:rsidRPr="00E118A3">
        <w:rPr>
          <w:rFonts w:eastAsia="Times New Roman"/>
          <w:kern w:val="0"/>
          <w14:ligatures w14:val="none"/>
        </w:rPr>
        <w:t xml:space="preserve"> Information for commissioners of plastic surgery services - referrals and guidelines in plastic surgery. </w:t>
      </w:r>
      <w:r w:rsidR="127ADE95" w:rsidRPr="00E118A3">
        <w:rPr>
          <w:rFonts w:eastAsia="Times New Roman"/>
          <w:kern w:val="0"/>
          <w14:ligatures w14:val="none"/>
        </w:rPr>
        <w:t xml:space="preserve">2006 </w:t>
      </w:r>
      <w:r w:rsidR="127ADE95" w:rsidRPr="3143CCF0">
        <w:rPr>
          <w:rFonts w:eastAsia="Times New Roman"/>
        </w:rPr>
        <w:t>[cited 2025 Feb 02];</w:t>
      </w:r>
      <w:r w:rsidR="06099ECB" w:rsidRPr="00E118A3">
        <w:rPr>
          <w:rFonts w:eastAsia="Times New Roman"/>
          <w:kern w:val="0"/>
          <w14:ligatures w14:val="none"/>
        </w:rPr>
        <w:t xml:space="preserve"> Available from:</w:t>
      </w:r>
      <w:r w:rsidR="06099ECB" w:rsidRPr="00E118A3">
        <w:t xml:space="preserve"> </w:t>
      </w:r>
      <w:hyperlink r:id="rId17">
        <w:r w:rsidR="06099ECB" w:rsidRPr="3143CCF0">
          <w:rPr>
            <w:rStyle w:val="Hyperlink"/>
          </w:rPr>
          <w:t>https://www.bapras.org.uk/docs/default-source/commissioning-and-policy/information-for-commissioners-of-plastic-surgery-services.pdf?sfvrsn=ba572cc3_2</w:t>
        </w:r>
      </w:hyperlink>
    </w:p>
    <w:p w14:paraId="03191000" w14:textId="2E2B6DDE" w:rsidR="0020384B" w:rsidRPr="00E118A3" w:rsidRDefault="0020384B" w:rsidP="00706515">
      <w:pPr>
        <w:pStyle w:val="ListParagraph"/>
        <w:numPr>
          <w:ilvl w:val="0"/>
          <w:numId w:val="8"/>
        </w:numPr>
        <w:spacing w:line="259" w:lineRule="auto"/>
        <w:ind w:left="426"/>
        <w:contextualSpacing/>
      </w:pPr>
      <w:r w:rsidRPr="00E118A3">
        <w:rPr>
          <w:rFonts w:eastAsia="Times New Roman"/>
          <w:kern w:val="0"/>
          <w14:ligatures w14:val="none"/>
        </w:rPr>
        <w:t>NHS Bristol, North Somerset and South Gloucestershire Integrated Care Board</w:t>
      </w:r>
      <w:r w:rsidR="06099ECB" w:rsidRPr="00E118A3">
        <w:rPr>
          <w:rFonts w:eastAsia="Times New Roman"/>
          <w:kern w:val="0"/>
          <w14:ligatures w14:val="none"/>
        </w:rPr>
        <w:t>.</w:t>
      </w:r>
      <w:r w:rsidRPr="00E118A3">
        <w:rPr>
          <w:rFonts w:eastAsia="Times New Roman"/>
          <w:kern w:val="0"/>
          <w14:ligatures w14:val="none"/>
        </w:rPr>
        <w:t xml:space="preserve"> Facial surgery and treatments. </w:t>
      </w:r>
      <w:r w:rsidR="61AA1846" w:rsidRPr="3143CCF0">
        <w:rPr>
          <w:rFonts w:eastAsia="Times New Roman"/>
        </w:rPr>
        <w:t xml:space="preserve">2021 [cited 2025 Feb 02]; </w:t>
      </w:r>
      <w:r w:rsidR="06099ECB" w:rsidRPr="00E118A3">
        <w:rPr>
          <w:rFonts w:eastAsia="Times New Roman"/>
          <w:kern w:val="0"/>
          <w14:ligatures w14:val="none"/>
        </w:rPr>
        <w:t>Available from</w:t>
      </w:r>
      <w:r w:rsidR="06099ECB" w:rsidRPr="00E118A3">
        <w:t xml:space="preserve">: </w:t>
      </w:r>
      <w:hyperlink r:id="rId18">
        <w:r w:rsidR="06099ECB" w:rsidRPr="3143CCF0">
          <w:rPr>
            <w:rStyle w:val="Hyperlink"/>
          </w:rPr>
          <w:t>https://bnssg.icb.nhs.uk/wp-content/uploads/2015/09/Facial-Surgery-Treatments.pdf</w:t>
        </w:r>
      </w:hyperlink>
      <w:r w:rsidR="5199E334" w:rsidRPr="00E118A3">
        <w:t>.</w:t>
      </w:r>
    </w:p>
    <w:p w14:paraId="73879528" w14:textId="6760441D" w:rsidR="0020384B" w:rsidRPr="00E118A3" w:rsidRDefault="0020384B" w:rsidP="00706515">
      <w:pPr>
        <w:pStyle w:val="ListParagraph"/>
        <w:numPr>
          <w:ilvl w:val="0"/>
          <w:numId w:val="8"/>
        </w:numPr>
        <w:spacing w:line="259" w:lineRule="auto"/>
        <w:ind w:left="426"/>
        <w:contextualSpacing/>
        <w:rPr>
          <w:rFonts w:eastAsia="Times New Roman"/>
          <w:color w:val="3D3F42"/>
          <w:kern w:val="0"/>
          <w14:ligatures w14:val="none"/>
        </w:rPr>
      </w:pPr>
      <w:r w:rsidRPr="00E118A3">
        <w:rPr>
          <w:rFonts w:eastAsia="Times New Roman"/>
          <w:kern w:val="0"/>
          <w14:ligatures w14:val="none"/>
        </w:rPr>
        <w:t>North Yorkshire CCG</w:t>
      </w:r>
      <w:r w:rsidR="06099ECB" w:rsidRPr="00E118A3">
        <w:rPr>
          <w:rFonts w:eastAsia="Times New Roman"/>
          <w:kern w:val="0"/>
          <w14:ligatures w14:val="none"/>
        </w:rPr>
        <w:t>.</w:t>
      </w:r>
      <w:r w:rsidRPr="00E118A3">
        <w:rPr>
          <w:rFonts w:eastAsia="Times New Roman"/>
          <w:kern w:val="0"/>
          <w14:ligatures w14:val="none"/>
        </w:rPr>
        <w:t xml:space="preserve"> Commissioning Statement: Cosmetic / plastic surgery. </w:t>
      </w:r>
      <w:r w:rsidR="455E82AE" w:rsidRPr="3143CCF0">
        <w:rPr>
          <w:rFonts w:eastAsia="Times New Roman"/>
        </w:rPr>
        <w:t>2021 [cited 2025 Feb 02];</w:t>
      </w:r>
      <w:r w:rsidR="06099ECB" w:rsidRPr="00E118A3">
        <w:rPr>
          <w:rFonts w:eastAsia="Times New Roman"/>
          <w:kern w:val="0"/>
          <w14:ligatures w14:val="none"/>
        </w:rPr>
        <w:t xml:space="preserve"> Available from:</w:t>
      </w:r>
      <w:r w:rsidR="06099ECB" w:rsidRPr="00E118A3">
        <w:t xml:space="preserve"> </w:t>
      </w:r>
      <w:hyperlink r:id="rId19">
        <w:r w:rsidR="06099ECB" w:rsidRPr="3143CCF0">
          <w:rPr>
            <w:rStyle w:val="Hyperlink"/>
          </w:rPr>
          <w:t>https://northyorkshireccg.nhs.uk/wp-content/uploads/2021/04/Cosmetic-Plastic-Surgery-NY-CCG_v1.0_01.07.2021.pdf</w:t>
        </w:r>
      </w:hyperlink>
      <w:r w:rsidR="6099526C" w:rsidRPr="00E118A3">
        <w:t>.</w:t>
      </w:r>
    </w:p>
    <w:p w14:paraId="22E73734" w14:textId="41891BC2" w:rsidR="1F271CCC" w:rsidRDefault="1F271CCC" w:rsidP="00706515">
      <w:pPr>
        <w:pStyle w:val="ListParagraph"/>
        <w:numPr>
          <w:ilvl w:val="0"/>
          <w:numId w:val="8"/>
        </w:numPr>
        <w:shd w:val="clear" w:color="auto" w:fill="FFFFFF" w:themeFill="background1"/>
        <w:spacing w:after="0"/>
        <w:ind w:left="426"/>
      </w:pPr>
      <w:r w:rsidRPr="47055AB2">
        <w:rPr>
          <w:rFonts w:eastAsia="Times New Roman"/>
        </w:rPr>
        <w:t>National Institute for Health and Care Excellence (NICE). Obsessive-compulsive disorder and body dysmorphic disorder: treatment (CG31). 2005 [cited 2025 Feb 02]; Available from</w:t>
      </w:r>
      <w:r>
        <w:t xml:space="preserve">: </w:t>
      </w:r>
      <w:hyperlink r:id="rId20">
        <w:r w:rsidR="0227ECDC" w:rsidRPr="47055AB2">
          <w:rPr>
            <w:rStyle w:val="Hyperlink"/>
          </w:rPr>
          <w:t>https://www.nice.org.uk/Guidance/CG31</w:t>
        </w:r>
      </w:hyperlink>
      <w:r w:rsidR="12412013">
        <w:t>.</w:t>
      </w:r>
    </w:p>
    <w:p w14:paraId="59F28F34" w14:textId="7A936DB7" w:rsidR="12412013" w:rsidRPr="00926170" w:rsidRDefault="12412013" w:rsidP="00706515">
      <w:pPr>
        <w:pStyle w:val="ListParagraph"/>
        <w:numPr>
          <w:ilvl w:val="0"/>
          <w:numId w:val="8"/>
        </w:numPr>
        <w:shd w:val="clear" w:color="auto" w:fill="FFFFFF" w:themeFill="background1"/>
        <w:spacing w:after="0"/>
        <w:ind w:left="426"/>
        <w:rPr>
          <w:rStyle w:val="Hyperlink"/>
          <w:rFonts w:eastAsia="Times New Roman"/>
          <w:color w:val="auto"/>
          <w:u w:val="none"/>
          <w:lang w:val="fr-FR"/>
        </w:rPr>
      </w:pPr>
      <w:r w:rsidRPr="47055AB2">
        <w:rPr>
          <w:rFonts w:eastAsia="Times New Roman"/>
        </w:rPr>
        <w:t xml:space="preserve">Karimi N, Kashkouli MB, Sianati H, Khademi B. Techniques of Eyebrow Lifting: A Narrative Review. </w:t>
      </w:r>
      <w:r w:rsidRPr="00926170">
        <w:rPr>
          <w:rFonts w:eastAsia="Times New Roman"/>
          <w:lang w:val="fr-FR"/>
        </w:rPr>
        <w:t xml:space="preserve">J Ophthalmic Vis Res. 2020 Apr 6;15(2):218-235. </w:t>
      </w:r>
      <w:hyperlink r:id="rId21">
        <w:r w:rsidRPr="00926170">
          <w:rPr>
            <w:rStyle w:val="Hyperlink"/>
            <w:rFonts w:eastAsia="Times New Roman"/>
            <w:lang w:val="fr-FR"/>
          </w:rPr>
          <w:t>https://dx.doi.org/10.18502/jovr.v15i2.6740</w:t>
        </w:r>
      </w:hyperlink>
      <w:r w:rsidRPr="00926170">
        <w:rPr>
          <w:rFonts w:eastAsia="Times New Roman"/>
          <w:lang w:val="fr-FR"/>
        </w:rPr>
        <w:t>.</w:t>
      </w:r>
    </w:p>
    <w:p w14:paraId="041DD032" w14:textId="6E32B0C0" w:rsidR="241B2C2E" w:rsidRDefault="241B2C2E" w:rsidP="00706515">
      <w:pPr>
        <w:pStyle w:val="ListParagraph"/>
        <w:numPr>
          <w:ilvl w:val="0"/>
          <w:numId w:val="8"/>
        </w:numPr>
        <w:shd w:val="clear" w:color="auto" w:fill="FFFFFF" w:themeFill="background1"/>
        <w:spacing w:after="0"/>
        <w:ind w:left="426"/>
        <w:rPr>
          <w:rFonts w:eastAsia="Times New Roman"/>
        </w:rPr>
      </w:pPr>
      <w:r w:rsidRPr="47055AB2">
        <w:rPr>
          <w:rFonts w:eastAsia="Times New Roman"/>
        </w:rPr>
        <w:t xml:space="preserve">Hijkoop LF, Stevens HPJD, van der Lei B. The minimal access cranial suspension (MACS) lift: A systematic review of literature 18 years after its introduction. J Plast Reconstr Aesthet Surg. 2022 Mar;75(3):1187-1196. </w:t>
      </w:r>
      <w:hyperlink r:id="rId22">
        <w:r w:rsidRPr="47055AB2">
          <w:rPr>
            <w:rStyle w:val="Hyperlink"/>
            <w:rFonts w:eastAsia="Times New Roman"/>
          </w:rPr>
          <w:t>https://dx.doi.org/10.1016/j.bjps.2021.11.051</w:t>
        </w:r>
      </w:hyperlink>
      <w:r w:rsidRPr="47055AB2">
        <w:rPr>
          <w:rFonts w:eastAsia="Times New Roman"/>
        </w:rPr>
        <w:t>.</w:t>
      </w:r>
    </w:p>
    <w:p w14:paraId="0476679F" w14:textId="4D12D9FB" w:rsidR="006A10C9" w:rsidRDefault="006A10C9" w:rsidP="00706515">
      <w:pPr>
        <w:pStyle w:val="ListParagraph"/>
        <w:numPr>
          <w:ilvl w:val="0"/>
          <w:numId w:val="8"/>
        </w:numPr>
        <w:shd w:val="clear" w:color="auto" w:fill="FFFFFF" w:themeFill="background1"/>
        <w:spacing w:after="0"/>
        <w:ind w:left="426"/>
        <w:rPr>
          <w:rFonts w:eastAsia="Times New Roman"/>
        </w:rPr>
      </w:pPr>
      <w:r w:rsidRPr="47055AB2">
        <w:rPr>
          <w:rFonts w:eastAsia="Times New Roman"/>
        </w:rPr>
        <w:t xml:space="preserve">Dutt A, Dutt AP, Reddy RK, Charles WN, Khademi Mansour HR, Nahai F, Khajuria A. A Bibliometric Analysis of the Highest Cited Rhytidectomy Literature. Aesthet Surg J Open Forum. 2023 Oct 31;5:ojad099. </w:t>
      </w:r>
      <w:hyperlink r:id="rId23">
        <w:r w:rsidRPr="47055AB2">
          <w:rPr>
            <w:rStyle w:val="Hyperlink"/>
            <w:rFonts w:eastAsia="Times New Roman"/>
          </w:rPr>
          <w:t>https://dx.doi.org/10.1093/asjof/ojad099</w:t>
        </w:r>
      </w:hyperlink>
      <w:r w:rsidRPr="47055AB2">
        <w:rPr>
          <w:rFonts w:eastAsia="Times New Roman"/>
        </w:rPr>
        <w:t>.</w:t>
      </w:r>
    </w:p>
    <w:p w14:paraId="3372127A" w14:textId="5322A847" w:rsidR="0020384B" w:rsidRPr="00E118A3" w:rsidRDefault="0020384B" w:rsidP="00706515">
      <w:pPr>
        <w:pStyle w:val="ListParagraph"/>
        <w:numPr>
          <w:ilvl w:val="0"/>
          <w:numId w:val="8"/>
        </w:numPr>
        <w:spacing w:after="0"/>
        <w:ind w:left="426"/>
        <w:contextualSpacing/>
        <w:textAlignment w:val="baseline"/>
        <w:rPr>
          <w:rFonts w:eastAsia="Times New Roman"/>
          <w:kern w:val="0"/>
          <w14:ligatures w14:val="none"/>
        </w:rPr>
      </w:pPr>
      <w:r w:rsidRPr="00E118A3">
        <w:rPr>
          <w:rFonts w:eastAsia="Times New Roman"/>
          <w:kern w:val="0"/>
          <w14:ligatures w14:val="none"/>
        </w:rPr>
        <w:t xml:space="preserve">Meretsky CR, Hausner P, Flynn BP, Schiuma AT. A Systematic Review and Comparative Analysis of Reconstructive Rhytidectomy: Advantages, Disadvantages, and Patient Outcomes. Cureus. 2024 Oct 7;16(10): e71006. </w:t>
      </w:r>
      <w:hyperlink r:id="rId24">
        <w:r w:rsidR="78A9AE78" w:rsidRPr="3143CCF0">
          <w:rPr>
            <w:rStyle w:val="Hyperlink"/>
            <w:rFonts w:eastAsia="Times New Roman"/>
          </w:rPr>
          <w:t>https://dx.doi.org/</w:t>
        </w:r>
        <w:r w:rsidR="06099ECB" w:rsidRPr="3143CCF0">
          <w:rPr>
            <w:rStyle w:val="Hyperlink"/>
            <w:rFonts w:eastAsia="Times New Roman"/>
          </w:rPr>
          <w:t>10.7759/cureus.71006</w:t>
        </w:r>
      </w:hyperlink>
      <w:r w:rsidR="2AB0DABA" w:rsidRPr="00E118A3">
        <w:rPr>
          <w:rFonts w:eastAsia="Times New Roman"/>
          <w:kern w:val="0"/>
          <w14:ligatures w14:val="none"/>
        </w:rPr>
        <w:t>.</w:t>
      </w:r>
    </w:p>
    <w:p w14:paraId="5D1AACB5" w14:textId="739E8255" w:rsidR="0020384B" w:rsidRPr="00E118A3" w:rsidRDefault="0020384B" w:rsidP="00706515">
      <w:pPr>
        <w:pStyle w:val="ListParagraph"/>
        <w:numPr>
          <w:ilvl w:val="0"/>
          <w:numId w:val="8"/>
        </w:numPr>
        <w:spacing w:after="0"/>
        <w:ind w:left="426"/>
        <w:contextualSpacing/>
        <w:textAlignment w:val="baseline"/>
        <w:rPr>
          <w:rFonts w:eastAsia="Times New Roman"/>
          <w:kern w:val="0"/>
          <w14:ligatures w14:val="none"/>
        </w:rPr>
      </w:pPr>
      <w:r w:rsidRPr="00E118A3">
        <w:rPr>
          <w:rFonts w:eastAsia="Times New Roman"/>
          <w:kern w:val="0"/>
          <w14:ligatures w14:val="none"/>
        </w:rPr>
        <w:t xml:space="preserve">Herruer JM, Prins JB, van Heerbeek N, Verhage-Damen GWJA, Ingels KJAO. Negative predictors for satisfaction in patients seeking facial cosmetic surgery: a systematic review. Plast Reconstr Surg. 2015 Jun;135(6):1596-1605. </w:t>
      </w:r>
      <w:hyperlink r:id="rId25">
        <w:r w:rsidR="78A9AE78" w:rsidRPr="3143CCF0">
          <w:rPr>
            <w:rStyle w:val="Hyperlink"/>
            <w:rFonts w:eastAsia="Times New Roman"/>
          </w:rPr>
          <w:t>https://dx.doi.org/</w:t>
        </w:r>
        <w:r w:rsidR="06099ECB" w:rsidRPr="3143CCF0">
          <w:rPr>
            <w:rStyle w:val="Hyperlink"/>
            <w:rFonts w:eastAsia="Times New Roman"/>
          </w:rPr>
          <w:t>10.1097/PRS.0000000000001264</w:t>
        </w:r>
      </w:hyperlink>
      <w:r w:rsidR="48C7D480" w:rsidRPr="00E118A3">
        <w:rPr>
          <w:rFonts w:eastAsia="Times New Roman"/>
          <w:kern w:val="0"/>
          <w14:ligatures w14:val="none"/>
        </w:rPr>
        <w:t>.</w:t>
      </w:r>
    </w:p>
    <w:p w14:paraId="05E84144" w14:textId="22FAEF37" w:rsidR="0020384B" w:rsidRPr="00E118A3" w:rsidRDefault="06099ECB" w:rsidP="00706515">
      <w:pPr>
        <w:pStyle w:val="ListParagraph"/>
        <w:numPr>
          <w:ilvl w:val="0"/>
          <w:numId w:val="8"/>
        </w:numPr>
        <w:spacing w:after="0"/>
        <w:ind w:left="426"/>
        <w:contextualSpacing/>
        <w:textAlignment w:val="baseline"/>
        <w:rPr>
          <w:rStyle w:val="Hyperlink"/>
          <w:rFonts w:eastAsia="Times New Roman"/>
          <w:color w:val="auto"/>
          <w:kern w:val="0"/>
          <w:u w:val="none"/>
          <w14:ligatures w14:val="none"/>
        </w:rPr>
      </w:pPr>
      <w:r w:rsidRPr="00E118A3">
        <w:rPr>
          <w:rFonts w:eastAsia="Times New Roman"/>
          <w:kern w:val="0"/>
          <w14:ligatures w14:val="none"/>
        </w:rPr>
        <w:t>BMJ Best Practice. Wrinkles.</w:t>
      </w:r>
      <w:r w:rsidR="0FCFF14D" w:rsidRPr="00E118A3">
        <w:rPr>
          <w:rFonts w:eastAsia="Times New Roman"/>
          <w:kern w:val="0"/>
          <w14:ligatures w14:val="none"/>
        </w:rPr>
        <w:t xml:space="preserve"> </w:t>
      </w:r>
      <w:r w:rsidR="0FCFF14D" w:rsidRPr="3143CCF0">
        <w:rPr>
          <w:rFonts w:eastAsia="Times New Roman"/>
        </w:rPr>
        <w:t>2022</w:t>
      </w:r>
      <w:r w:rsidRPr="00E118A3">
        <w:rPr>
          <w:rFonts w:eastAsia="Times New Roman"/>
          <w:kern w:val="0"/>
          <w14:ligatures w14:val="none"/>
        </w:rPr>
        <w:t xml:space="preserve"> </w:t>
      </w:r>
      <w:r w:rsidR="3104D373" w:rsidRPr="3143CCF0">
        <w:rPr>
          <w:rFonts w:eastAsia="Times New Roman"/>
        </w:rPr>
        <w:t xml:space="preserve">[cited 2025 Feb 02]; </w:t>
      </w:r>
      <w:r w:rsidRPr="00E118A3">
        <w:rPr>
          <w:rFonts w:eastAsia="Times New Roman"/>
          <w:kern w:val="0"/>
          <w14:ligatures w14:val="none"/>
        </w:rPr>
        <w:t xml:space="preserve">Available from: </w:t>
      </w:r>
      <w:hyperlink r:id="rId26">
        <w:r w:rsidRPr="3143CCF0">
          <w:rPr>
            <w:rStyle w:val="Hyperlink"/>
            <w:rFonts w:eastAsia="Times New Roman"/>
          </w:rPr>
          <w:t>https://bestpractice-bmj-com.knowledge.idm.oclc.org/topics/en-gb/859</w:t>
        </w:r>
      </w:hyperlink>
      <w:r w:rsidR="480DDEBC" w:rsidRPr="00E118A3">
        <w:rPr>
          <w:rFonts w:eastAsia="Times New Roman"/>
          <w:kern w:val="0"/>
          <w14:ligatures w14:val="none"/>
        </w:rPr>
        <w:t>.</w:t>
      </w:r>
    </w:p>
    <w:p w14:paraId="58016D41" w14:textId="397E10D8" w:rsidR="7631EA33" w:rsidRDefault="7631EA33" w:rsidP="00706515">
      <w:pPr>
        <w:pStyle w:val="ListParagraph"/>
        <w:numPr>
          <w:ilvl w:val="0"/>
          <w:numId w:val="8"/>
        </w:numPr>
        <w:spacing w:after="0"/>
        <w:ind w:left="426"/>
        <w:contextualSpacing/>
        <w:rPr>
          <w:rStyle w:val="Hyperlink"/>
          <w:rFonts w:eastAsia="Times New Roman"/>
          <w:color w:val="auto"/>
          <w:u w:val="none"/>
        </w:rPr>
      </w:pPr>
      <w:r w:rsidRPr="47055AB2">
        <w:rPr>
          <w:rFonts w:eastAsia="Times New Roman"/>
        </w:rPr>
        <w:t xml:space="preserve">Sinclair NR, Kochuba A, Coombs DM, Couto RA, Charafeddine AH, Grow J, Matarasso A, Zins JE. Face Lift Practice Patterns: An American Society of Plastic Surgeons Member Survey, 2000 and 2020. How Much Have We Changed? Plast Reconstr Surg. 2022 Jun 1;149(6):1096e-1105e. </w:t>
      </w:r>
      <w:hyperlink r:id="rId27">
        <w:r w:rsidRPr="47055AB2">
          <w:rPr>
            <w:rStyle w:val="Hyperlink"/>
            <w:rFonts w:eastAsia="Times New Roman"/>
          </w:rPr>
          <w:t>https://dx.doi.org/10.1097/PRS.0000000000009097</w:t>
        </w:r>
      </w:hyperlink>
      <w:r w:rsidRPr="47055AB2">
        <w:rPr>
          <w:rFonts w:eastAsia="Times New Roman"/>
        </w:rPr>
        <w:t>.</w:t>
      </w:r>
    </w:p>
    <w:p w14:paraId="3A1C8573" w14:textId="0FB7E008" w:rsidR="0020384B" w:rsidRPr="00E118A3" w:rsidRDefault="0020384B" w:rsidP="00706515">
      <w:pPr>
        <w:pStyle w:val="ListParagraph"/>
        <w:numPr>
          <w:ilvl w:val="0"/>
          <w:numId w:val="8"/>
        </w:numPr>
        <w:spacing w:after="0" w:line="259" w:lineRule="auto"/>
        <w:ind w:left="426"/>
        <w:contextualSpacing/>
        <w:textAlignment w:val="baseline"/>
        <w:rPr>
          <w:rFonts w:eastAsia="Times New Roman"/>
          <w:kern w:val="0"/>
          <w14:ligatures w14:val="none"/>
        </w:rPr>
      </w:pPr>
      <w:r w:rsidRPr="00E118A3">
        <w:rPr>
          <w:rFonts w:eastAsia="Times New Roman"/>
          <w:kern w:val="0"/>
          <w14:ligatures w14:val="none"/>
        </w:rPr>
        <w:t xml:space="preserve">Bassiri-Tehrani B, Abi-Rafeh J, Baker NF, Kerendi AN, Nahai F. Systolic Blood Pressure Less Than 120 mmHg is a Safe and Effective Method to Minimize Bleeding After Facelift Surgery: A Review of 502 Consecutive Cases. Aesthet Surg J. 2023 Nov 16;43(12):1420-1428. </w:t>
      </w:r>
      <w:hyperlink r:id="rId28">
        <w:r w:rsidR="78A9AE78" w:rsidRPr="3143CCF0">
          <w:rPr>
            <w:rStyle w:val="Hyperlink"/>
            <w:rFonts w:eastAsia="Times New Roman"/>
          </w:rPr>
          <w:t>https://dx.doi.org/</w:t>
        </w:r>
        <w:r w:rsidR="06099ECB" w:rsidRPr="3143CCF0">
          <w:rPr>
            <w:rStyle w:val="Hyperlink"/>
            <w:rFonts w:eastAsia="Times New Roman"/>
          </w:rPr>
          <w:t>10.1093/asj/sjad228</w:t>
        </w:r>
      </w:hyperlink>
      <w:r w:rsidR="21D80449" w:rsidRPr="00E118A3">
        <w:rPr>
          <w:rFonts w:eastAsia="Times New Roman"/>
          <w:kern w:val="0"/>
          <w14:ligatures w14:val="none"/>
        </w:rPr>
        <w:t>.</w:t>
      </w:r>
    </w:p>
    <w:p w14:paraId="154CEA92" w14:textId="7E5D80B9" w:rsidR="0020384B" w:rsidRPr="00E118A3" w:rsidRDefault="0020384B" w:rsidP="00706515">
      <w:pPr>
        <w:pStyle w:val="ListParagraph"/>
        <w:numPr>
          <w:ilvl w:val="0"/>
          <w:numId w:val="8"/>
        </w:numPr>
        <w:spacing w:after="0"/>
        <w:ind w:left="426"/>
        <w:contextualSpacing/>
        <w:textAlignment w:val="baseline"/>
        <w:rPr>
          <w:rStyle w:val="Hyperlink"/>
          <w:rFonts w:eastAsia="Times New Roman"/>
          <w:color w:val="auto"/>
          <w:kern w:val="0"/>
          <w:u w:val="none"/>
          <w14:ligatures w14:val="none"/>
        </w:rPr>
      </w:pPr>
      <w:r w:rsidRPr="00E118A3">
        <w:rPr>
          <w:rFonts w:eastAsia="Times New Roman"/>
          <w:kern w:val="0"/>
          <w14:ligatures w14:val="none"/>
        </w:rPr>
        <w:lastRenderedPageBreak/>
        <w:t xml:space="preserve">Kucukguven A, Galandarova A, Bitik O. A Systematic Review and Meta-Analysis of Early Relapse After Facelift. Aesthetic Plast Surg. 2023 Feb;47(1):144-155. </w:t>
      </w:r>
      <w:hyperlink r:id="rId29">
        <w:r w:rsidR="78A9AE78" w:rsidRPr="3143CCF0">
          <w:rPr>
            <w:rStyle w:val="Hyperlink"/>
            <w:rFonts w:eastAsia="Times New Roman"/>
          </w:rPr>
          <w:t>https://dx.doi.org/</w:t>
        </w:r>
        <w:r w:rsidR="06099ECB" w:rsidRPr="3143CCF0">
          <w:rPr>
            <w:rStyle w:val="Hyperlink"/>
            <w:rFonts w:eastAsia="Times New Roman"/>
          </w:rPr>
          <w:t>10.1007/s00266-022-02894-8</w:t>
        </w:r>
      </w:hyperlink>
      <w:r w:rsidR="412D2E58" w:rsidRPr="00E118A3">
        <w:rPr>
          <w:rFonts w:eastAsia="Times New Roman"/>
          <w:kern w:val="0"/>
          <w14:ligatures w14:val="none"/>
        </w:rPr>
        <w:t>.</w:t>
      </w:r>
    </w:p>
    <w:p w14:paraId="569483C2" w14:textId="10569859" w:rsidR="0020384B" w:rsidRPr="00926170" w:rsidRDefault="2C3395D3" w:rsidP="00706515">
      <w:pPr>
        <w:pStyle w:val="ListParagraph"/>
        <w:numPr>
          <w:ilvl w:val="0"/>
          <w:numId w:val="8"/>
        </w:numPr>
        <w:spacing w:after="0"/>
        <w:ind w:left="426"/>
        <w:contextualSpacing/>
        <w:textAlignment w:val="baseline"/>
        <w:rPr>
          <w:rFonts w:eastAsia="Times New Roman"/>
          <w:kern w:val="0"/>
          <w:lang w:val="fr-FR"/>
          <w14:ligatures w14:val="none"/>
        </w:rPr>
      </w:pPr>
      <w:r w:rsidRPr="47055AB2">
        <w:rPr>
          <w:rFonts w:eastAsia="Times New Roman"/>
        </w:rPr>
        <w:t xml:space="preserve">Jacono AA, Alemi AS, Russell JL. A Meta-Analysis of Complication Rates Among Different SMAS Facelift Techniques. </w:t>
      </w:r>
      <w:r w:rsidRPr="00926170">
        <w:rPr>
          <w:rFonts w:eastAsia="Times New Roman"/>
          <w:lang w:val="fr-FR"/>
        </w:rPr>
        <w:t xml:space="preserve">Aesthet Surg J. 2019 Aug 22;39(9):927-942. </w:t>
      </w:r>
      <w:hyperlink r:id="rId30">
        <w:r w:rsidRPr="00926170">
          <w:rPr>
            <w:rStyle w:val="Hyperlink"/>
            <w:rFonts w:eastAsia="Times New Roman"/>
            <w:lang w:val="fr-FR"/>
          </w:rPr>
          <w:t>https://dx.doi.org/10.1093/asj/sjz045</w:t>
        </w:r>
      </w:hyperlink>
      <w:r w:rsidRPr="00926170">
        <w:rPr>
          <w:rFonts w:eastAsia="Times New Roman"/>
          <w:lang w:val="fr-FR"/>
        </w:rPr>
        <w:t>.</w:t>
      </w:r>
    </w:p>
    <w:p w14:paraId="1A8F8D35" w14:textId="1C1A5E96" w:rsidR="0020384B" w:rsidRPr="00E118A3" w:rsidRDefault="0020384B" w:rsidP="00706515">
      <w:pPr>
        <w:pStyle w:val="ListParagraph"/>
        <w:numPr>
          <w:ilvl w:val="0"/>
          <w:numId w:val="8"/>
        </w:numPr>
        <w:spacing w:after="0"/>
        <w:ind w:left="426"/>
        <w:contextualSpacing/>
        <w:textAlignment w:val="baseline"/>
        <w:rPr>
          <w:rFonts w:eastAsia="Times New Roman"/>
          <w:kern w:val="0"/>
          <w14:ligatures w14:val="none"/>
        </w:rPr>
      </w:pPr>
      <w:r w:rsidRPr="00E118A3">
        <w:rPr>
          <w:rFonts w:eastAsia="Times New Roman"/>
          <w:kern w:val="0"/>
          <w14:ligatures w14:val="none"/>
        </w:rPr>
        <w:t xml:space="preserve">Mortada H, Alkilani N, Halawani IR, Zaid WA, Alkahtani RS, Saqr H, Neel OF. Evolution of Superficial Muscular Aponeurotic System Facelift Techniques: A Comprehensive Systematic Review of Complications and Outcomes. JPRAS Open. 2023 Jun 8;39:166-180. </w:t>
      </w:r>
      <w:hyperlink r:id="rId31">
        <w:r w:rsidR="78A9AE78" w:rsidRPr="3143CCF0">
          <w:rPr>
            <w:rStyle w:val="Hyperlink"/>
            <w:rFonts w:eastAsia="Times New Roman"/>
          </w:rPr>
          <w:t>https://dx.doi.org/</w:t>
        </w:r>
        <w:r w:rsidR="06099ECB" w:rsidRPr="3143CCF0">
          <w:rPr>
            <w:rStyle w:val="Hyperlink"/>
            <w:rFonts w:eastAsia="Times New Roman"/>
          </w:rPr>
          <w:t>10.1016/j.jpra.2023.06.003</w:t>
        </w:r>
      </w:hyperlink>
      <w:r w:rsidR="1A01C3E2" w:rsidRPr="00E118A3">
        <w:rPr>
          <w:rFonts w:eastAsia="Times New Roman"/>
          <w:kern w:val="0"/>
          <w14:ligatures w14:val="none"/>
        </w:rPr>
        <w:t>.</w:t>
      </w:r>
    </w:p>
    <w:p w14:paraId="1028FB08" w14:textId="3DB78FE2" w:rsidR="0020384B" w:rsidRPr="00E118A3" w:rsidRDefault="0020384B" w:rsidP="00706515">
      <w:pPr>
        <w:pStyle w:val="ListParagraph"/>
        <w:numPr>
          <w:ilvl w:val="0"/>
          <w:numId w:val="8"/>
        </w:numPr>
        <w:spacing w:after="0"/>
        <w:ind w:left="426"/>
        <w:contextualSpacing/>
        <w:textAlignment w:val="baseline"/>
        <w:rPr>
          <w:rStyle w:val="Hyperlink"/>
          <w:rFonts w:eastAsia="Times New Roman"/>
          <w:color w:val="auto"/>
          <w:kern w:val="0"/>
          <w:u w:val="none"/>
          <w14:ligatures w14:val="none"/>
        </w:rPr>
      </w:pPr>
      <w:r w:rsidRPr="00E118A3">
        <w:rPr>
          <w:rFonts w:eastAsia="Times New Roman"/>
          <w:kern w:val="0"/>
          <w14:ligatures w14:val="none"/>
        </w:rPr>
        <w:t xml:space="preserve">Avashia YJ, Stuzin JM, Cason RW, Savetsky IL, Rohrich RJ. An Evidence-Based and Case-Based Comparison of Modern Face Lift Techniques. Plast Reconstr Surg. 2023 Jul 1;152(1):51e-65e. </w:t>
      </w:r>
      <w:hyperlink r:id="rId32">
        <w:r w:rsidR="78A9AE78" w:rsidRPr="3143CCF0">
          <w:rPr>
            <w:rStyle w:val="Hyperlink"/>
            <w:rFonts w:eastAsia="Times New Roman"/>
          </w:rPr>
          <w:t>https://dx.doi.org/</w:t>
        </w:r>
        <w:r w:rsidR="06099ECB" w:rsidRPr="3143CCF0">
          <w:rPr>
            <w:rStyle w:val="Hyperlink"/>
            <w:rFonts w:eastAsia="Times New Roman"/>
          </w:rPr>
          <w:t>10.1097/PRS.0000000000010096</w:t>
        </w:r>
      </w:hyperlink>
      <w:r w:rsidR="0F397274" w:rsidRPr="00E118A3">
        <w:rPr>
          <w:rFonts w:eastAsia="Times New Roman"/>
          <w:kern w:val="0"/>
          <w14:ligatures w14:val="none"/>
        </w:rPr>
        <w:t>.</w:t>
      </w:r>
    </w:p>
    <w:p w14:paraId="69FD89C7" w14:textId="09FCE42F" w:rsidR="1441CE8E" w:rsidRDefault="1441CE8E" w:rsidP="00706515">
      <w:pPr>
        <w:pStyle w:val="ListParagraph"/>
        <w:numPr>
          <w:ilvl w:val="0"/>
          <w:numId w:val="8"/>
        </w:numPr>
        <w:spacing w:after="0"/>
        <w:ind w:left="426"/>
        <w:contextualSpacing/>
        <w:rPr>
          <w:rFonts w:eastAsia="Times New Roman"/>
        </w:rPr>
      </w:pPr>
      <w:r w:rsidRPr="47055AB2">
        <w:rPr>
          <w:rFonts w:eastAsia="Times New Roman"/>
        </w:rPr>
        <w:t xml:space="preserve">Cambiaso-Daniel J, Giordano S, Agnelli B, Bella L, Gualdi A. Neck Lift to Treat Platysma Bands and Defining Cervical Angle: A Systematic Review and Pooled Analysis. Facial Plast Surg. 2024 Oct 15. </w:t>
      </w:r>
      <w:hyperlink r:id="rId33">
        <w:r w:rsidRPr="47055AB2">
          <w:rPr>
            <w:rStyle w:val="Hyperlink"/>
            <w:rFonts w:eastAsia="Times New Roman"/>
          </w:rPr>
          <w:t>https://dx.doi.org/10.1055/s-0044-1791690</w:t>
        </w:r>
      </w:hyperlink>
      <w:r w:rsidRPr="47055AB2">
        <w:rPr>
          <w:rFonts w:eastAsia="Times New Roman"/>
        </w:rPr>
        <w:t>.</w:t>
      </w:r>
    </w:p>
    <w:p w14:paraId="34AE6EF3" w14:textId="26F517ED" w:rsidR="0020384B" w:rsidRPr="00E118A3" w:rsidRDefault="0020384B" w:rsidP="00706515">
      <w:pPr>
        <w:pStyle w:val="ListParagraph"/>
        <w:numPr>
          <w:ilvl w:val="0"/>
          <w:numId w:val="8"/>
        </w:numPr>
        <w:spacing w:after="0"/>
        <w:ind w:left="426"/>
        <w:contextualSpacing/>
        <w:textAlignment w:val="baseline"/>
        <w:rPr>
          <w:rStyle w:val="Hyperlink"/>
          <w:rFonts w:eastAsia="Times New Roman"/>
          <w:color w:val="3D3F42"/>
          <w:kern w:val="0"/>
          <w:u w:val="none"/>
          <w14:ligatures w14:val="none"/>
        </w:rPr>
      </w:pPr>
      <w:r w:rsidRPr="00E118A3">
        <w:rPr>
          <w:rFonts w:eastAsia="Times New Roman"/>
          <w:kern w:val="0"/>
          <w14:ligatures w14:val="none"/>
        </w:rPr>
        <w:t xml:space="preserve">Chinta SR, Brydges HT, Laspro M, Shah AR, Cohen J, Ceradini DJ. Current Trends in Deep Plane Neck Lifting: A Systematic Review. Ann Plast Surg. 2025 Feb 1;94(2):222-228. </w:t>
      </w:r>
      <w:hyperlink r:id="rId34">
        <w:r w:rsidR="2E53D5B8" w:rsidRPr="3143CCF0">
          <w:rPr>
            <w:rStyle w:val="Hyperlink"/>
            <w:rFonts w:eastAsia="Times New Roman"/>
          </w:rPr>
          <w:t>https://dx.doi.org/</w:t>
        </w:r>
        <w:r w:rsidR="06099ECB" w:rsidRPr="3143CCF0">
          <w:rPr>
            <w:rStyle w:val="Hyperlink"/>
            <w:rFonts w:eastAsia="Times New Roman"/>
          </w:rPr>
          <w:t>10.1097/SAP.0000000000004163</w:t>
        </w:r>
      </w:hyperlink>
      <w:r w:rsidR="189310E8" w:rsidRPr="00E118A3">
        <w:rPr>
          <w:rFonts w:eastAsia="Times New Roman"/>
          <w:kern w:val="0"/>
          <w14:ligatures w14:val="none"/>
        </w:rPr>
        <w:t>.</w:t>
      </w:r>
    </w:p>
    <w:p w14:paraId="58488154" w14:textId="2B09D1C5" w:rsidR="4612C4E9" w:rsidRDefault="4612C4E9" w:rsidP="00706515">
      <w:pPr>
        <w:pStyle w:val="ListParagraph"/>
        <w:numPr>
          <w:ilvl w:val="0"/>
          <w:numId w:val="8"/>
        </w:numPr>
        <w:spacing w:after="0"/>
        <w:ind w:left="426"/>
        <w:contextualSpacing/>
        <w:rPr>
          <w:rStyle w:val="Hyperlink"/>
          <w:rFonts w:eastAsia="Times New Roman"/>
          <w:color w:val="auto"/>
          <w:u w:val="none"/>
        </w:rPr>
      </w:pPr>
      <w:r w:rsidRPr="47055AB2">
        <w:rPr>
          <w:rFonts w:eastAsia="Times New Roman"/>
        </w:rPr>
        <w:t xml:space="preserve">Johnson J, Hojjat H, Chung MT, Arianpour K, Rayess H, Eckert R, Carron M. Functional Reconstruction of Forehead and Midface Deficits Using the Endoscopic Technique and Bio-Absorbable Implants. Plast Surg (Oakv). 2020 Aug;28(3):142-147. </w:t>
      </w:r>
      <w:hyperlink r:id="rId35">
        <w:r w:rsidRPr="47055AB2">
          <w:rPr>
            <w:rStyle w:val="Hyperlink"/>
            <w:rFonts w:eastAsia="Times New Roman"/>
          </w:rPr>
          <w:t>https://dx.doi.org/10.1177/2292550320903401</w:t>
        </w:r>
      </w:hyperlink>
      <w:r w:rsidRPr="47055AB2">
        <w:rPr>
          <w:rFonts w:eastAsia="Times New Roman"/>
        </w:rPr>
        <w:t>.</w:t>
      </w:r>
    </w:p>
    <w:p w14:paraId="7F7082A4" w14:textId="3AAB6580" w:rsidR="0020384B" w:rsidRPr="00E118A3" w:rsidRDefault="0020384B" w:rsidP="00706515">
      <w:pPr>
        <w:pStyle w:val="ListParagraph"/>
        <w:numPr>
          <w:ilvl w:val="0"/>
          <w:numId w:val="8"/>
        </w:numPr>
        <w:spacing w:after="0"/>
        <w:ind w:left="426"/>
        <w:contextualSpacing/>
        <w:textAlignment w:val="baseline"/>
        <w:rPr>
          <w:rFonts w:eastAsia="Times New Roman"/>
          <w:kern w:val="0"/>
          <w14:ligatures w14:val="none"/>
        </w:rPr>
      </w:pPr>
      <w:r w:rsidRPr="00E118A3">
        <w:rPr>
          <w:rFonts w:eastAsia="Times New Roman"/>
          <w:kern w:val="0"/>
          <w14:ligatures w14:val="none"/>
        </w:rPr>
        <w:t xml:space="preserve">Şibar S, Erdal AI. The Gliding Brow Lift: A Systematic Review of the Literature. Ann Plast Surg. 2024 Sep 1;93(3):397-401. </w:t>
      </w:r>
      <w:hyperlink r:id="rId36">
        <w:r w:rsidR="7B599F64" w:rsidRPr="3143CCF0">
          <w:rPr>
            <w:rStyle w:val="Hyperlink"/>
            <w:rFonts w:eastAsia="Times New Roman"/>
          </w:rPr>
          <w:t>https://dx.doi.org/</w:t>
        </w:r>
        <w:r w:rsidR="06099ECB" w:rsidRPr="3143CCF0">
          <w:rPr>
            <w:rStyle w:val="Hyperlink"/>
            <w:rFonts w:eastAsia="Times New Roman"/>
          </w:rPr>
          <w:t>10.1097/SAP.0000000000004050</w:t>
        </w:r>
      </w:hyperlink>
      <w:r w:rsidR="080F4645" w:rsidRPr="00E118A3">
        <w:rPr>
          <w:rFonts w:eastAsia="Times New Roman"/>
          <w:kern w:val="0"/>
          <w14:ligatures w14:val="none"/>
        </w:rPr>
        <w:t>.</w:t>
      </w:r>
    </w:p>
    <w:p w14:paraId="26D11BFA" w14:textId="5C61C480" w:rsidR="0020384B" w:rsidRPr="00E118A3" w:rsidRDefault="0020384B" w:rsidP="00706515">
      <w:pPr>
        <w:pStyle w:val="ListParagraph"/>
        <w:numPr>
          <w:ilvl w:val="0"/>
          <w:numId w:val="8"/>
        </w:numPr>
        <w:spacing w:line="259" w:lineRule="auto"/>
        <w:ind w:left="426"/>
        <w:contextualSpacing/>
        <w:rPr>
          <w:rStyle w:val="Hyperlink"/>
        </w:rPr>
      </w:pPr>
      <w:r>
        <w:t xml:space="preserve">Amador RO, Hamaguchi R, Bartlett R, Sinha I. Safety and Effectiveness of Limited Incision Facelifts: A Systematic Review and Meta-analysis. Aesthet Surg J Open Forum. 2023 Apr 14;5(Suppl 1):ojad027.003. </w:t>
      </w:r>
      <w:hyperlink r:id="rId37">
        <w:r w:rsidR="78A9AE78" w:rsidRPr="47055AB2">
          <w:rPr>
            <w:rStyle w:val="Hyperlink"/>
          </w:rPr>
          <w:t>https://dx.doi.org/</w:t>
        </w:r>
        <w:r w:rsidR="06099ECB" w:rsidRPr="47055AB2">
          <w:rPr>
            <w:rStyle w:val="Hyperlink"/>
          </w:rPr>
          <w:t>10.1093/asjof/ojad027.003</w:t>
        </w:r>
      </w:hyperlink>
      <w:r w:rsidR="4FCB1968">
        <w:t>.</w:t>
      </w:r>
    </w:p>
    <w:p w14:paraId="3F2B0F8D" w14:textId="2DBC5D02" w:rsidR="0020384B" w:rsidRPr="00E118A3" w:rsidRDefault="0020384B" w:rsidP="00706515">
      <w:pPr>
        <w:pStyle w:val="ListParagraph"/>
        <w:numPr>
          <w:ilvl w:val="0"/>
          <w:numId w:val="8"/>
        </w:numPr>
        <w:spacing w:after="0"/>
        <w:ind w:left="426"/>
        <w:contextualSpacing/>
        <w:textAlignment w:val="baseline"/>
        <w:rPr>
          <w:rFonts w:eastAsia="Times New Roman"/>
          <w:kern w:val="0"/>
          <w14:ligatures w14:val="none"/>
        </w:rPr>
      </w:pPr>
      <w:r w:rsidRPr="00E118A3">
        <w:rPr>
          <w:rFonts w:eastAsia="Times New Roman"/>
          <w:kern w:val="0"/>
          <w14:ligatures w14:val="none"/>
        </w:rPr>
        <w:t xml:space="preserve">DynaMed. Cosmetic Skin Resurfacing. EBSCO Information Services. </w:t>
      </w:r>
      <w:r w:rsidR="4A11C31A" w:rsidRPr="00E118A3">
        <w:rPr>
          <w:rFonts w:eastAsia="Times New Roman"/>
          <w:kern w:val="0"/>
          <w14:ligatures w14:val="none"/>
        </w:rPr>
        <w:t xml:space="preserve">2025 </w:t>
      </w:r>
      <w:r w:rsidR="4A11C31A" w:rsidRPr="3143CCF0">
        <w:rPr>
          <w:rFonts w:eastAsia="Times New Roman"/>
        </w:rPr>
        <w:t>[cited 2025 Feb 06]; Available from</w:t>
      </w:r>
      <w:r w:rsidR="4A11C31A">
        <w:t>:</w:t>
      </w:r>
      <w:r w:rsidR="06099ECB" w:rsidRPr="00E118A3">
        <w:rPr>
          <w:rFonts w:eastAsia="Times New Roman"/>
          <w:kern w:val="0"/>
          <w14:ligatures w14:val="none"/>
        </w:rPr>
        <w:t xml:space="preserve"> </w:t>
      </w:r>
      <w:hyperlink r:id="rId38">
        <w:r w:rsidR="06099ECB" w:rsidRPr="3143CCF0">
          <w:rPr>
            <w:rStyle w:val="Hyperlink"/>
            <w:rFonts w:eastAsia="Times New Roman"/>
          </w:rPr>
          <w:t>https://www-dynamed-com.knowledge.idm.oclc.org/procedure/cosmetic-skin-resurfacing</w:t>
        </w:r>
      </w:hyperlink>
      <w:r w:rsidR="1A8DAE97" w:rsidRPr="00E118A3">
        <w:rPr>
          <w:rFonts w:eastAsia="Times New Roman"/>
          <w:kern w:val="0"/>
          <w14:ligatures w14:val="none"/>
        </w:rPr>
        <w:t>.</w:t>
      </w:r>
    </w:p>
    <w:p w14:paraId="720063DE" w14:textId="2E48EEE5" w:rsidR="0020384B" w:rsidRPr="00E118A3" w:rsidRDefault="0020384B" w:rsidP="00706515">
      <w:pPr>
        <w:pStyle w:val="ListParagraph"/>
        <w:numPr>
          <w:ilvl w:val="0"/>
          <w:numId w:val="8"/>
        </w:numPr>
        <w:spacing w:after="0"/>
        <w:ind w:left="426"/>
        <w:contextualSpacing/>
        <w:textAlignment w:val="baseline"/>
        <w:rPr>
          <w:rFonts w:eastAsia="Times New Roman"/>
          <w:kern w:val="0"/>
          <w14:ligatures w14:val="none"/>
        </w:rPr>
      </w:pPr>
      <w:r w:rsidRPr="00E118A3">
        <w:rPr>
          <w:rFonts w:eastAsia="Times New Roman"/>
          <w:kern w:val="0"/>
          <w14:ligatures w14:val="none"/>
        </w:rPr>
        <w:t xml:space="preserve">Signorini M, Piero Fundarò S, Bertossi D, Cavallini M, Cirillo P, Natuzzi G, Quartucci S, Sciuto C, Patalano M, Trocchi G. OnabotulinumtoxinA from lines to facial reshaping: A new Italian consensus report. J Cosmet Dermatol. 2022 Feb;21(2):550-563. </w:t>
      </w:r>
      <w:hyperlink r:id="rId39">
        <w:r w:rsidR="78A9AE78" w:rsidRPr="3143CCF0">
          <w:rPr>
            <w:rStyle w:val="Hyperlink"/>
            <w:rFonts w:eastAsia="Times New Roman"/>
          </w:rPr>
          <w:t>https://dx.doi.org/</w:t>
        </w:r>
        <w:r w:rsidR="06099ECB" w:rsidRPr="3143CCF0">
          <w:rPr>
            <w:rStyle w:val="Hyperlink"/>
            <w:rFonts w:eastAsia="Times New Roman"/>
          </w:rPr>
          <w:t>10.1111/jocd.14728</w:t>
        </w:r>
      </w:hyperlink>
      <w:r w:rsidR="755428F1" w:rsidRPr="00E118A3">
        <w:rPr>
          <w:rFonts w:eastAsia="Times New Roman"/>
          <w:kern w:val="0"/>
          <w14:ligatures w14:val="none"/>
        </w:rPr>
        <w:t>.</w:t>
      </w:r>
    </w:p>
    <w:p w14:paraId="14043F13" w14:textId="3F018083" w:rsidR="0020384B" w:rsidRPr="00E118A3" w:rsidRDefault="0020384B" w:rsidP="00706515">
      <w:pPr>
        <w:pStyle w:val="ListParagraph"/>
        <w:numPr>
          <w:ilvl w:val="0"/>
          <w:numId w:val="8"/>
        </w:numPr>
        <w:spacing w:after="0" w:line="259" w:lineRule="auto"/>
        <w:ind w:left="426"/>
        <w:contextualSpacing/>
        <w:textAlignment w:val="baseline"/>
        <w:rPr>
          <w:rFonts w:eastAsia="Times New Roman"/>
          <w:color w:val="3D3F42"/>
          <w:kern w:val="0"/>
          <w14:ligatures w14:val="none"/>
        </w:rPr>
      </w:pPr>
      <w:r w:rsidRPr="00E118A3">
        <w:rPr>
          <w:rFonts w:eastAsia="Times New Roman"/>
          <w:kern w:val="0"/>
          <w14:ligatures w14:val="none"/>
        </w:rPr>
        <w:t xml:space="preserve">Yi KH, Park SY. Facial Thread Lifting Complications. J Cosmet Dermatol. 2025 Jan;24(1):e16745. </w:t>
      </w:r>
      <w:hyperlink r:id="rId40">
        <w:r w:rsidR="78A9AE78" w:rsidRPr="3143CCF0">
          <w:rPr>
            <w:rStyle w:val="Hyperlink"/>
            <w:rFonts w:eastAsia="Times New Roman"/>
          </w:rPr>
          <w:t>https://dx.doi.org/</w:t>
        </w:r>
        <w:r w:rsidR="06099ECB" w:rsidRPr="3143CCF0">
          <w:rPr>
            <w:rStyle w:val="Hyperlink"/>
            <w:rFonts w:eastAsia="Times New Roman"/>
          </w:rPr>
          <w:t>10.1111/jocd.16745</w:t>
        </w:r>
      </w:hyperlink>
      <w:r w:rsidR="079CC688" w:rsidRPr="00E118A3">
        <w:rPr>
          <w:rFonts w:eastAsia="Times New Roman"/>
          <w:kern w:val="0"/>
          <w14:ligatures w14:val="none"/>
        </w:rPr>
        <w:t>.</w:t>
      </w:r>
    </w:p>
    <w:p w14:paraId="715FCA3F" w14:textId="0E203803" w:rsidR="4B353A1E" w:rsidRPr="00706515" w:rsidRDefault="4B353A1E" w:rsidP="00706515">
      <w:pPr>
        <w:pStyle w:val="ListParagraph"/>
        <w:numPr>
          <w:ilvl w:val="0"/>
          <w:numId w:val="8"/>
        </w:numPr>
        <w:spacing w:after="0" w:line="259" w:lineRule="auto"/>
        <w:ind w:left="426"/>
        <w:contextualSpacing/>
        <w:rPr>
          <w:rFonts w:eastAsia="Times New Roman"/>
        </w:rPr>
      </w:pPr>
      <w:r w:rsidRPr="00706515">
        <w:rPr>
          <w:rFonts w:eastAsia="Times New Roman"/>
        </w:rPr>
        <w:t>Contini M, Hollander MHJ, Vissink A, Schepers RH, Jansma J, Schortinghuis J. A Systematic Review of the Efficacy of Microfocused Ultrasound for Facial Skin Tightening. Int J Environ Res Public Health. 2023 Jan 13;20(2):1522.</w:t>
      </w:r>
    </w:p>
    <w:p w14:paraId="01F48676" w14:textId="37ABF9B5" w:rsidR="0020384B" w:rsidRPr="00E118A3" w:rsidRDefault="0020384B" w:rsidP="00706515">
      <w:pPr>
        <w:pStyle w:val="ListParagraph"/>
        <w:numPr>
          <w:ilvl w:val="0"/>
          <w:numId w:val="8"/>
        </w:numPr>
        <w:spacing w:after="0"/>
        <w:ind w:left="426"/>
        <w:contextualSpacing/>
        <w:textAlignment w:val="baseline"/>
        <w:rPr>
          <w:rFonts w:eastAsia="Times New Roman"/>
          <w:color w:val="3D3F42"/>
          <w:kern w:val="0"/>
          <w14:ligatures w14:val="none"/>
        </w:rPr>
      </w:pPr>
      <w:r w:rsidRPr="00706515">
        <w:rPr>
          <w:rFonts w:eastAsia="Times New Roman"/>
          <w:kern w:val="0"/>
          <w14:ligatures w14:val="none"/>
        </w:rPr>
        <w:t xml:space="preserve">Humphrey VS, Rambhia PH, Gmyrek R, Chapas A. Microfocused Ultrasound With Visualization: A Systematic Review of Adverse Events and Risk of Subsequent Facelift Compromise. Dermatol Surg. 2024 Dec 3. </w:t>
      </w:r>
      <w:hyperlink r:id="rId41">
        <w:r w:rsidR="78A9AE78" w:rsidRPr="3143CCF0">
          <w:rPr>
            <w:rStyle w:val="Hyperlink"/>
            <w:rFonts w:eastAsia="Times New Roman"/>
          </w:rPr>
          <w:t>https://dx.doi.org/</w:t>
        </w:r>
        <w:r w:rsidR="06099ECB" w:rsidRPr="3143CCF0">
          <w:rPr>
            <w:rStyle w:val="Hyperlink"/>
            <w:rFonts w:eastAsia="Times New Roman"/>
          </w:rPr>
          <w:t>10.1097/DSS.0000000000004510</w:t>
        </w:r>
      </w:hyperlink>
      <w:r w:rsidR="0D5D639A" w:rsidRPr="00E118A3">
        <w:rPr>
          <w:rFonts w:eastAsia="Times New Roman"/>
          <w:kern w:val="0"/>
          <w14:ligatures w14:val="none"/>
        </w:rPr>
        <w:t>.</w:t>
      </w:r>
    </w:p>
    <w:p w14:paraId="0011035D" w14:textId="5B975F9B" w:rsidR="0020384B" w:rsidRPr="00E118A3" w:rsidRDefault="0020384B" w:rsidP="00706515">
      <w:pPr>
        <w:pStyle w:val="ListParagraph"/>
        <w:numPr>
          <w:ilvl w:val="0"/>
          <w:numId w:val="8"/>
        </w:numPr>
        <w:spacing w:after="0"/>
        <w:ind w:left="426"/>
        <w:contextualSpacing/>
        <w:textAlignment w:val="baseline"/>
        <w:rPr>
          <w:rFonts w:eastAsia="Times New Roman"/>
          <w:color w:val="3D3F42"/>
          <w:kern w:val="0"/>
          <w14:ligatures w14:val="none"/>
        </w:rPr>
      </w:pPr>
      <w:r w:rsidRPr="00E118A3">
        <w:rPr>
          <w:rFonts w:eastAsia="Times New Roman"/>
          <w:kern w:val="0"/>
          <w14:ligatures w14:val="none"/>
        </w:rPr>
        <w:t xml:space="preserve">Nilforoushzadeh MA, Heidari A, Ghane Y, Heidari N, Azizi H, Fakhim T, Shahverdi M, Rafiee S, Lotfi Z, Najar Nobari N. The Endo-lift Laser (Intralesional 1470 nm Diode Laser) </w:t>
      </w:r>
      <w:r w:rsidRPr="00E118A3">
        <w:rPr>
          <w:rFonts w:eastAsia="Times New Roman"/>
          <w:kern w:val="0"/>
          <w14:ligatures w14:val="none"/>
        </w:rPr>
        <w:lastRenderedPageBreak/>
        <w:t xml:space="preserve">for Dermatological Aesthetic Conditions: A Systematic Review. Aesthetic Plast Surg. 2024 Dec;48(23):5097-5114. </w:t>
      </w:r>
      <w:hyperlink r:id="rId42">
        <w:r w:rsidR="78A9AE78" w:rsidRPr="3143CCF0">
          <w:rPr>
            <w:rStyle w:val="Hyperlink"/>
            <w:rFonts w:eastAsia="Times New Roman"/>
          </w:rPr>
          <w:t>https://dx.doi.org/</w:t>
        </w:r>
        <w:r w:rsidR="06099ECB" w:rsidRPr="3143CCF0">
          <w:rPr>
            <w:rStyle w:val="Hyperlink"/>
            <w:rFonts w:eastAsia="Times New Roman"/>
          </w:rPr>
          <w:t>10.1007/s00266-024-04082-2</w:t>
        </w:r>
      </w:hyperlink>
      <w:r w:rsidR="713066F5" w:rsidRPr="00E118A3">
        <w:rPr>
          <w:rFonts w:eastAsia="Times New Roman"/>
          <w:kern w:val="0"/>
          <w14:ligatures w14:val="none"/>
        </w:rPr>
        <w:t>.</w:t>
      </w:r>
    </w:p>
    <w:bookmarkEnd w:id="20"/>
    <w:p w14:paraId="703BA068" w14:textId="77777777" w:rsidR="00A0044F" w:rsidRPr="001636EF" w:rsidRDefault="00A0044F" w:rsidP="47055AB2"/>
    <w:p w14:paraId="05ED4C82" w14:textId="77777777" w:rsidR="00706515" w:rsidRDefault="00706515">
      <w:pPr>
        <w:rPr>
          <w:rFonts w:eastAsiaTheme="majorEastAsia"/>
          <w:b/>
          <w:bCs/>
          <w:color w:val="009242"/>
          <w:sz w:val="28"/>
          <w:szCs w:val="28"/>
        </w:rPr>
      </w:pPr>
      <w:r>
        <w:br w:type="page"/>
      </w:r>
    </w:p>
    <w:p w14:paraId="0C2F7526" w14:textId="7C3B31AA" w:rsidR="00267304" w:rsidRPr="001636EF" w:rsidRDefault="00A0044F" w:rsidP="00B37DAA">
      <w:pPr>
        <w:pStyle w:val="Heading1"/>
      </w:pPr>
      <w:bookmarkStart w:id="21" w:name="_Toc197682836"/>
      <w:r w:rsidRPr="001636EF">
        <w:lastRenderedPageBreak/>
        <w:t>Appendi</w:t>
      </w:r>
      <w:r w:rsidR="00267304" w:rsidRPr="001636EF">
        <w:t>ces</w:t>
      </w:r>
      <w:bookmarkEnd w:id="21"/>
    </w:p>
    <w:p w14:paraId="6406952F" w14:textId="535E8F55" w:rsidR="003D7F19" w:rsidRPr="001636EF" w:rsidRDefault="00267304" w:rsidP="00911617">
      <w:pPr>
        <w:pStyle w:val="Heading2"/>
        <w:numPr>
          <w:ilvl w:val="0"/>
          <w:numId w:val="0"/>
        </w:numPr>
        <w:ind w:left="576" w:hanging="576"/>
      </w:pPr>
      <w:bookmarkStart w:id="22" w:name="_Toc197682837"/>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22"/>
    </w:p>
    <w:p w14:paraId="6C32E104" w14:textId="2BC32C93" w:rsidR="003D7F19" w:rsidRPr="001636EF" w:rsidRDefault="003D7F19" w:rsidP="003D7F19">
      <w:r w:rsidRPr="001636EF">
        <w:t>We searched MEDLINE, Ovid Embase, PsycInfo bibliographic databases on Ovid, the Cochrane Database of Systematic Reviews, DynaMed and BMJ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limited searches to the past ten years and English language publications and websites. We used EndNote reference management software to deduplicate and manage records.</w:t>
      </w:r>
    </w:p>
    <w:p w14:paraId="5A113FD9" w14:textId="24689ED4" w:rsidR="00E1680D" w:rsidRPr="001636EF" w:rsidRDefault="00E1680D" w:rsidP="00E1680D">
      <w:r w:rsidRPr="001636EF">
        <w:t>We screened the literature search results for relevance to the topic by reviewing publication types, titles, abstracts, tables of content</w:t>
      </w:r>
      <w:r w:rsidR="000542B6">
        <w:t xml:space="preserve"> and</w:t>
      </w:r>
      <w:r w:rsidRPr="001636EF">
        <w:t xml:space="preserve"> executive summaries. We extracted and summarised the key findings from the included resources.</w:t>
      </w:r>
    </w:p>
    <w:p w14:paraId="1447A628" w14:textId="4A6EE22F" w:rsidR="00A0044F" w:rsidRPr="005C523B" w:rsidRDefault="00CB7C02" w:rsidP="00911617">
      <w:pPr>
        <w:pStyle w:val="Heading2"/>
        <w:numPr>
          <w:ilvl w:val="0"/>
          <w:numId w:val="0"/>
        </w:numPr>
        <w:ind w:left="576" w:hanging="576"/>
      </w:pPr>
      <w:bookmarkStart w:id="23" w:name="_Toc197682838"/>
      <w:r w:rsidRPr="005C523B">
        <w:t>Appendix 2</w:t>
      </w:r>
      <w:r w:rsidR="00521111">
        <w:t>–</w:t>
      </w:r>
      <w:r w:rsidR="00A0044F" w:rsidRPr="005C523B">
        <w:t>Search strategy</w:t>
      </w:r>
      <w:bookmarkEnd w:id="23"/>
    </w:p>
    <w:p w14:paraId="3ABAEA5F" w14:textId="4E7D525D" w:rsidR="000371F1" w:rsidRPr="00E118A3" w:rsidRDefault="000371F1" w:rsidP="000371F1">
      <w:pPr>
        <w:rPr>
          <w:b/>
          <w:lang w:val="en-US"/>
        </w:rPr>
      </w:pPr>
      <w:r w:rsidRPr="00E118A3">
        <w:rPr>
          <w:b/>
          <w:lang w:val="en-US"/>
        </w:rPr>
        <w:t>Database: Ovid MEDLINE(R) ALL &lt;01012015 to 04022025&gt;</w:t>
      </w:r>
    </w:p>
    <w:p w14:paraId="2FBE1EF2" w14:textId="655EAD67" w:rsidR="000371F1" w:rsidRPr="00E118A3" w:rsidRDefault="000371F1" w:rsidP="000371F1">
      <w:pPr>
        <w:rPr>
          <w:lang w:val="en-US"/>
        </w:rPr>
      </w:pPr>
      <w:r w:rsidRPr="00E118A3">
        <w:rPr>
          <w:b/>
          <w:lang w:val="en-US"/>
        </w:rPr>
        <w:t>Search Strategy</w:t>
      </w:r>
    </w:p>
    <w:tbl>
      <w:tblPr>
        <w:tblW w:w="4479" w:type="pct"/>
        <w:tblLook w:val="04A0" w:firstRow="1" w:lastRow="0" w:firstColumn="1" w:lastColumn="0" w:noHBand="0" w:noVBand="1"/>
      </w:tblPr>
      <w:tblGrid>
        <w:gridCol w:w="702"/>
        <w:gridCol w:w="5965"/>
        <w:gridCol w:w="1418"/>
      </w:tblGrid>
      <w:tr w:rsidR="000371F1" w:rsidRPr="00B0481D" w14:paraId="05DC6EA6" w14:textId="77777777" w:rsidTr="0045793E">
        <w:tc>
          <w:tcPr>
            <w:tcW w:w="434" w:type="pct"/>
            <w:tcMar>
              <w:top w:w="15" w:type="dxa"/>
              <w:left w:w="15" w:type="dxa"/>
              <w:bottom w:w="15" w:type="dxa"/>
              <w:right w:w="15" w:type="dxa"/>
            </w:tcMar>
            <w:vAlign w:val="center"/>
            <w:hideMark/>
          </w:tcPr>
          <w:p w14:paraId="2BB5FAFD" w14:textId="77777777" w:rsidR="000371F1" w:rsidRPr="00E118A3" w:rsidRDefault="000371F1" w:rsidP="0045793E">
            <w:pPr>
              <w:spacing w:after="0" w:line="240" w:lineRule="auto"/>
              <w:rPr>
                <w:b/>
                <w:bCs/>
              </w:rPr>
            </w:pPr>
            <w:r w:rsidRPr="00E118A3">
              <w:rPr>
                <w:b/>
                <w:bCs/>
              </w:rPr>
              <w:t>#</w:t>
            </w:r>
          </w:p>
        </w:tc>
        <w:tc>
          <w:tcPr>
            <w:tcW w:w="3689" w:type="pct"/>
            <w:tcMar>
              <w:top w:w="15" w:type="dxa"/>
              <w:left w:w="15" w:type="dxa"/>
              <w:bottom w:w="15" w:type="dxa"/>
              <w:right w:w="15" w:type="dxa"/>
            </w:tcMar>
            <w:vAlign w:val="center"/>
            <w:hideMark/>
          </w:tcPr>
          <w:p w14:paraId="7F6A83EA" w14:textId="77777777" w:rsidR="000371F1" w:rsidRPr="00E118A3" w:rsidRDefault="000371F1" w:rsidP="0045793E">
            <w:pPr>
              <w:spacing w:after="0" w:line="240" w:lineRule="auto"/>
              <w:rPr>
                <w:b/>
                <w:bCs/>
              </w:rPr>
            </w:pPr>
            <w:r w:rsidRPr="00E118A3">
              <w:rPr>
                <w:b/>
                <w:bCs/>
              </w:rPr>
              <w:t>Query</w:t>
            </w:r>
          </w:p>
        </w:tc>
        <w:tc>
          <w:tcPr>
            <w:tcW w:w="877" w:type="pct"/>
            <w:tcMar>
              <w:top w:w="15" w:type="dxa"/>
              <w:left w:w="15" w:type="dxa"/>
              <w:bottom w:w="15" w:type="dxa"/>
              <w:right w:w="15" w:type="dxa"/>
            </w:tcMar>
            <w:vAlign w:val="center"/>
            <w:hideMark/>
          </w:tcPr>
          <w:p w14:paraId="34539734" w14:textId="77777777" w:rsidR="000371F1" w:rsidRPr="00E118A3" w:rsidRDefault="000371F1" w:rsidP="0045793E">
            <w:pPr>
              <w:spacing w:after="0" w:line="240" w:lineRule="auto"/>
              <w:rPr>
                <w:b/>
                <w:bCs/>
              </w:rPr>
            </w:pPr>
            <w:r w:rsidRPr="00E118A3">
              <w:rPr>
                <w:b/>
                <w:bCs/>
              </w:rPr>
              <w:t>Results from 4 Feb 2025</w:t>
            </w:r>
          </w:p>
        </w:tc>
      </w:tr>
      <w:tr w:rsidR="000371F1" w:rsidRPr="00B0481D" w14:paraId="165FE32F" w14:textId="77777777" w:rsidTr="0045793E">
        <w:tc>
          <w:tcPr>
            <w:tcW w:w="434" w:type="pct"/>
            <w:tcMar>
              <w:top w:w="15" w:type="dxa"/>
              <w:left w:w="15" w:type="dxa"/>
              <w:bottom w:w="15" w:type="dxa"/>
              <w:right w:w="15" w:type="dxa"/>
            </w:tcMar>
            <w:vAlign w:val="center"/>
            <w:hideMark/>
          </w:tcPr>
          <w:p w14:paraId="748D9817" w14:textId="77777777" w:rsidR="000371F1" w:rsidRPr="00E118A3" w:rsidRDefault="000371F1" w:rsidP="0045793E">
            <w:pPr>
              <w:spacing w:after="0" w:line="240" w:lineRule="auto"/>
            </w:pPr>
            <w:r w:rsidRPr="00E118A3">
              <w:t>1</w:t>
            </w:r>
          </w:p>
        </w:tc>
        <w:tc>
          <w:tcPr>
            <w:tcW w:w="3689" w:type="pct"/>
            <w:tcMar>
              <w:top w:w="15" w:type="dxa"/>
              <w:left w:w="15" w:type="dxa"/>
              <w:bottom w:w="15" w:type="dxa"/>
              <w:right w:w="15" w:type="dxa"/>
            </w:tcMar>
            <w:vAlign w:val="center"/>
            <w:hideMark/>
          </w:tcPr>
          <w:p w14:paraId="771096A0" w14:textId="77777777" w:rsidR="000371F1" w:rsidRPr="00E118A3" w:rsidRDefault="000371F1" w:rsidP="0045793E">
            <w:pPr>
              <w:spacing w:after="0" w:line="240" w:lineRule="auto"/>
            </w:pPr>
            <w:r w:rsidRPr="00E118A3">
              <w:t>rhytidectomy.mp. or exp Rhytidoplasty/</w:t>
            </w:r>
          </w:p>
        </w:tc>
        <w:tc>
          <w:tcPr>
            <w:tcW w:w="877" w:type="pct"/>
            <w:tcMar>
              <w:top w:w="15" w:type="dxa"/>
              <w:left w:w="15" w:type="dxa"/>
              <w:bottom w:w="15" w:type="dxa"/>
              <w:right w:w="15" w:type="dxa"/>
            </w:tcMar>
            <w:vAlign w:val="center"/>
            <w:hideMark/>
          </w:tcPr>
          <w:p w14:paraId="526F6419" w14:textId="77777777" w:rsidR="000371F1" w:rsidRPr="00E118A3" w:rsidRDefault="000371F1" w:rsidP="0045793E">
            <w:pPr>
              <w:spacing w:after="0" w:line="240" w:lineRule="auto"/>
            </w:pPr>
            <w:r w:rsidRPr="00E118A3">
              <w:t>4,422</w:t>
            </w:r>
          </w:p>
        </w:tc>
      </w:tr>
      <w:tr w:rsidR="000371F1" w:rsidRPr="00B0481D" w14:paraId="52CD3145" w14:textId="77777777" w:rsidTr="0045793E">
        <w:tc>
          <w:tcPr>
            <w:tcW w:w="434" w:type="pct"/>
            <w:tcMar>
              <w:top w:w="15" w:type="dxa"/>
              <w:left w:w="15" w:type="dxa"/>
              <w:bottom w:w="15" w:type="dxa"/>
              <w:right w:w="15" w:type="dxa"/>
            </w:tcMar>
            <w:vAlign w:val="center"/>
            <w:hideMark/>
          </w:tcPr>
          <w:p w14:paraId="779B3C37" w14:textId="77777777" w:rsidR="000371F1" w:rsidRPr="00E118A3" w:rsidRDefault="000371F1" w:rsidP="0045793E">
            <w:pPr>
              <w:spacing w:after="0" w:line="240" w:lineRule="auto"/>
            </w:pPr>
            <w:r w:rsidRPr="00E118A3">
              <w:t>2</w:t>
            </w:r>
          </w:p>
        </w:tc>
        <w:tc>
          <w:tcPr>
            <w:tcW w:w="3689" w:type="pct"/>
            <w:tcMar>
              <w:top w:w="15" w:type="dxa"/>
              <w:left w:w="15" w:type="dxa"/>
              <w:bottom w:w="15" w:type="dxa"/>
              <w:right w:w="15" w:type="dxa"/>
            </w:tcMar>
            <w:vAlign w:val="center"/>
            <w:hideMark/>
          </w:tcPr>
          <w:p w14:paraId="19620863" w14:textId="77777777" w:rsidR="000371F1" w:rsidRPr="00E118A3" w:rsidRDefault="000371F1" w:rsidP="0045793E">
            <w:pPr>
              <w:spacing w:after="0" w:line="240" w:lineRule="auto"/>
            </w:pPr>
            <w:r w:rsidRPr="00E118A3">
              <w:t>facelift*.mp.</w:t>
            </w:r>
          </w:p>
        </w:tc>
        <w:tc>
          <w:tcPr>
            <w:tcW w:w="877" w:type="pct"/>
            <w:tcMar>
              <w:top w:w="15" w:type="dxa"/>
              <w:left w:w="15" w:type="dxa"/>
              <w:bottom w:w="15" w:type="dxa"/>
              <w:right w:w="15" w:type="dxa"/>
            </w:tcMar>
            <w:vAlign w:val="center"/>
            <w:hideMark/>
          </w:tcPr>
          <w:p w14:paraId="60E881EC" w14:textId="77777777" w:rsidR="000371F1" w:rsidRPr="00E118A3" w:rsidRDefault="000371F1" w:rsidP="0045793E">
            <w:pPr>
              <w:spacing w:after="0" w:line="240" w:lineRule="auto"/>
            </w:pPr>
            <w:r w:rsidRPr="00E118A3">
              <w:t>1,170</w:t>
            </w:r>
          </w:p>
        </w:tc>
      </w:tr>
      <w:tr w:rsidR="000371F1" w:rsidRPr="00B0481D" w14:paraId="4B8B761C" w14:textId="77777777" w:rsidTr="0045793E">
        <w:tc>
          <w:tcPr>
            <w:tcW w:w="434" w:type="pct"/>
            <w:tcMar>
              <w:top w:w="15" w:type="dxa"/>
              <w:left w:w="15" w:type="dxa"/>
              <w:bottom w:w="15" w:type="dxa"/>
              <w:right w:w="15" w:type="dxa"/>
            </w:tcMar>
            <w:vAlign w:val="center"/>
            <w:hideMark/>
          </w:tcPr>
          <w:p w14:paraId="24E80B8B" w14:textId="77777777" w:rsidR="000371F1" w:rsidRPr="00E118A3" w:rsidRDefault="000371F1" w:rsidP="0045793E">
            <w:pPr>
              <w:spacing w:after="0" w:line="240" w:lineRule="auto"/>
            </w:pPr>
            <w:r w:rsidRPr="00E118A3">
              <w:t>3</w:t>
            </w:r>
          </w:p>
        </w:tc>
        <w:tc>
          <w:tcPr>
            <w:tcW w:w="3689" w:type="pct"/>
            <w:tcMar>
              <w:top w:w="15" w:type="dxa"/>
              <w:left w:w="15" w:type="dxa"/>
              <w:bottom w:w="15" w:type="dxa"/>
              <w:right w:w="15" w:type="dxa"/>
            </w:tcMar>
            <w:vAlign w:val="center"/>
            <w:hideMark/>
          </w:tcPr>
          <w:p w14:paraId="750FA76A" w14:textId="77777777" w:rsidR="000371F1" w:rsidRPr="00E118A3" w:rsidRDefault="000371F1" w:rsidP="0045793E">
            <w:pPr>
              <w:spacing w:after="0" w:line="240" w:lineRule="auto"/>
            </w:pPr>
            <w:r w:rsidRPr="00E118A3">
              <w:t>face-lift*.mp.</w:t>
            </w:r>
          </w:p>
        </w:tc>
        <w:tc>
          <w:tcPr>
            <w:tcW w:w="877" w:type="pct"/>
            <w:tcMar>
              <w:top w:w="15" w:type="dxa"/>
              <w:left w:w="15" w:type="dxa"/>
              <w:bottom w:w="15" w:type="dxa"/>
              <w:right w:w="15" w:type="dxa"/>
            </w:tcMar>
            <w:vAlign w:val="center"/>
            <w:hideMark/>
          </w:tcPr>
          <w:p w14:paraId="74967821" w14:textId="77777777" w:rsidR="000371F1" w:rsidRPr="00E118A3" w:rsidRDefault="000371F1" w:rsidP="0045793E">
            <w:pPr>
              <w:spacing w:after="0" w:line="240" w:lineRule="auto"/>
            </w:pPr>
            <w:r w:rsidRPr="00E118A3">
              <w:t>1,237</w:t>
            </w:r>
          </w:p>
        </w:tc>
      </w:tr>
      <w:tr w:rsidR="000371F1" w:rsidRPr="00B0481D" w14:paraId="7B64B103" w14:textId="77777777" w:rsidTr="0045793E">
        <w:tc>
          <w:tcPr>
            <w:tcW w:w="434" w:type="pct"/>
            <w:tcMar>
              <w:top w:w="15" w:type="dxa"/>
              <w:left w:w="15" w:type="dxa"/>
              <w:bottom w:w="15" w:type="dxa"/>
              <w:right w:w="15" w:type="dxa"/>
            </w:tcMar>
            <w:vAlign w:val="center"/>
            <w:hideMark/>
          </w:tcPr>
          <w:p w14:paraId="403EEE35" w14:textId="77777777" w:rsidR="000371F1" w:rsidRPr="00E118A3" w:rsidRDefault="000371F1" w:rsidP="0045793E">
            <w:pPr>
              <w:spacing w:after="0" w:line="240" w:lineRule="auto"/>
            </w:pPr>
            <w:r w:rsidRPr="00E118A3">
              <w:t>4</w:t>
            </w:r>
          </w:p>
        </w:tc>
        <w:tc>
          <w:tcPr>
            <w:tcW w:w="3689" w:type="pct"/>
            <w:tcMar>
              <w:top w:w="15" w:type="dxa"/>
              <w:left w:w="15" w:type="dxa"/>
              <w:bottom w:w="15" w:type="dxa"/>
              <w:right w:w="15" w:type="dxa"/>
            </w:tcMar>
            <w:vAlign w:val="center"/>
            <w:hideMark/>
          </w:tcPr>
          <w:p w14:paraId="49453F85" w14:textId="77777777" w:rsidR="000371F1" w:rsidRPr="00E118A3" w:rsidRDefault="000371F1" w:rsidP="0045793E">
            <w:pPr>
              <w:spacing w:after="0" w:line="240" w:lineRule="auto"/>
            </w:pPr>
            <w:r w:rsidRPr="00E118A3">
              <w:t>browlift*.mp.</w:t>
            </w:r>
          </w:p>
        </w:tc>
        <w:tc>
          <w:tcPr>
            <w:tcW w:w="877" w:type="pct"/>
            <w:tcMar>
              <w:top w:w="15" w:type="dxa"/>
              <w:left w:w="15" w:type="dxa"/>
              <w:bottom w:w="15" w:type="dxa"/>
              <w:right w:w="15" w:type="dxa"/>
            </w:tcMar>
            <w:vAlign w:val="center"/>
            <w:hideMark/>
          </w:tcPr>
          <w:p w14:paraId="00A2AA1C" w14:textId="77777777" w:rsidR="000371F1" w:rsidRPr="00E118A3" w:rsidRDefault="000371F1" w:rsidP="0045793E">
            <w:pPr>
              <w:spacing w:after="0" w:line="240" w:lineRule="auto"/>
            </w:pPr>
            <w:r w:rsidRPr="00E118A3">
              <w:t>128</w:t>
            </w:r>
          </w:p>
        </w:tc>
      </w:tr>
      <w:tr w:rsidR="000371F1" w:rsidRPr="00B0481D" w14:paraId="35E03D66" w14:textId="77777777" w:rsidTr="0045793E">
        <w:tc>
          <w:tcPr>
            <w:tcW w:w="434" w:type="pct"/>
            <w:tcMar>
              <w:top w:w="15" w:type="dxa"/>
              <w:left w:w="15" w:type="dxa"/>
              <w:bottom w:w="15" w:type="dxa"/>
              <w:right w:w="15" w:type="dxa"/>
            </w:tcMar>
            <w:vAlign w:val="center"/>
            <w:hideMark/>
          </w:tcPr>
          <w:p w14:paraId="60E7ACCF" w14:textId="77777777" w:rsidR="000371F1" w:rsidRPr="00E118A3" w:rsidRDefault="000371F1" w:rsidP="0045793E">
            <w:pPr>
              <w:spacing w:after="0" w:line="240" w:lineRule="auto"/>
            </w:pPr>
            <w:r w:rsidRPr="00E118A3">
              <w:t>5</w:t>
            </w:r>
          </w:p>
        </w:tc>
        <w:tc>
          <w:tcPr>
            <w:tcW w:w="3689" w:type="pct"/>
            <w:tcMar>
              <w:top w:w="15" w:type="dxa"/>
              <w:left w:w="15" w:type="dxa"/>
              <w:bottom w:w="15" w:type="dxa"/>
              <w:right w:w="15" w:type="dxa"/>
            </w:tcMar>
            <w:vAlign w:val="center"/>
            <w:hideMark/>
          </w:tcPr>
          <w:p w14:paraId="32DD7C28" w14:textId="77777777" w:rsidR="000371F1" w:rsidRPr="00E118A3" w:rsidRDefault="000371F1" w:rsidP="0045793E">
            <w:pPr>
              <w:spacing w:after="0" w:line="240" w:lineRule="auto"/>
            </w:pPr>
            <w:r w:rsidRPr="00E118A3">
              <w:t>brow-lift*.mp.</w:t>
            </w:r>
          </w:p>
        </w:tc>
        <w:tc>
          <w:tcPr>
            <w:tcW w:w="877" w:type="pct"/>
            <w:tcMar>
              <w:top w:w="15" w:type="dxa"/>
              <w:left w:w="15" w:type="dxa"/>
              <w:bottom w:w="15" w:type="dxa"/>
              <w:right w:w="15" w:type="dxa"/>
            </w:tcMar>
            <w:vAlign w:val="center"/>
            <w:hideMark/>
          </w:tcPr>
          <w:p w14:paraId="75F0E724" w14:textId="77777777" w:rsidR="000371F1" w:rsidRPr="00E118A3" w:rsidRDefault="000371F1" w:rsidP="0045793E">
            <w:pPr>
              <w:spacing w:after="0" w:line="240" w:lineRule="auto"/>
            </w:pPr>
            <w:r w:rsidRPr="00E118A3">
              <w:t>503</w:t>
            </w:r>
          </w:p>
        </w:tc>
      </w:tr>
      <w:tr w:rsidR="000371F1" w:rsidRPr="00B0481D" w14:paraId="46C0E083" w14:textId="77777777" w:rsidTr="0045793E">
        <w:tc>
          <w:tcPr>
            <w:tcW w:w="434" w:type="pct"/>
            <w:tcMar>
              <w:top w:w="15" w:type="dxa"/>
              <w:left w:w="15" w:type="dxa"/>
              <w:bottom w:w="15" w:type="dxa"/>
              <w:right w:w="15" w:type="dxa"/>
            </w:tcMar>
            <w:vAlign w:val="center"/>
            <w:hideMark/>
          </w:tcPr>
          <w:p w14:paraId="76A04C7D" w14:textId="77777777" w:rsidR="000371F1" w:rsidRPr="00E118A3" w:rsidRDefault="000371F1" w:rsidP="0045793E">
            <w:pPr>
              <w:spacing w:after="0" w:line="240" w:lineRule="auto"/>
            </w:pPr>
            <w:r w:rsidRPr="00E118A3">
              <w:t>6</w:t>
            </w:r>
          </w:p>
        </w:tc>
        <w:tc>
          <w:tcPr>
            <w:tcW w:w="3689" w:type="pct"/>
            <w:tcMar>
              <w:top w:w="15" w:type="dxa"/>
              <w:left w:w="15" w:type="dxa"/>
              <w:bottom w:w="15" w:type="dxa"/>
              <w:right w:w="15" w:type="dxa"/>
            </w:tcMar>
            <w:vAlign w:val="center"/>
            <w:hideMark/>
          </w:tcPr>
          <w:p w14:paraId="7EA360D3" w14:textId="77777777" w:rsidR="000371F1" w:rsidRPr="00E118A3" w:rsidRDefault="000371F1" w:rsidP="0045793E">
            <w:pPr>
              <w:spacing w:after="0" w:line="240" w:lineRule="auto"/>
            </w:pPr>
            <w:r w:rsidRPr="00E118A3">
              <w:t>forehead-lift*.mp.</w:t>
            </w:r>
          </w:p>
        </w:tc>
        <w:tc>
          <w:tcPr>
            <w:tcW w:w="877" w:type="pct"/>
            <w:tcMar>
              <w:top w:w="15" w:type="dxa"/>
              <w:left w:w="15" w:type="dxa"/>
              <w:bottom w:w="15" w:type="dxa"/>
              <w:right w:w="15" w:type="dxa"/>
            </w:tcMar>
            <w:vAlign w:val="center"/>
            <w:hideMark/>
          </w:tcPr>
          <w:p w14:paraId="5CC683F3" w14:textId="77777777" w:rsidR="000371F1" w:rsidRPr="00E118A3" w:rsidRDefault="000371F1" w:rsidP="0045793E">
            <w:pPr>
              <w:spacing w:after="0" w:line="240" w:lineRule="auto"/>
            </w:pPr>
            <w:r w:rsidRPr="00E118A3">
              <w:t>247</w:t>
            </w:r>
          </w:p>
        </w:tc>
      </w:tr>
      <w:tr w:rsidR="000371F1" w:rsidRPr="00B0481D" w14:paraId="1BEFB6A2" w14:textId="77777777" w:rsidTr="0045793E">
        <w:tc>
          <w:tcPr>
            <w:tcW w:w="434" w:type="pct"/>
            <w:tcMar>
              <w:top w:w="15" w:type="dxa"/>
              <w:left w:w="15" w:type="dxa"/>
              <w:bottom w:w="15" w:type="dxa"/>
              <w:right w:w="15" w:type="dxa"/>
            </w:tcMar>
            <w:vAlign w:val="center"/>
            <w:hideMark/>
          </w:tcPr>
          <w:p w14:paraId="7071D642" w14:textId="77777777" w:rsidR="000371F1" w:rsidRPr="00E118A3" w:rsidRDefault="000371F1" w:rsidP="0045793E">
            <w:pPr>
              <w:spacing w:after="0" w:line="240" w:lineRule="auto"/>
            </w:pPr>
            <w:r w:rsidRPr="00E118A3">
              <w:t>7</w:t>
            </w:r>
          </w:p>
        </w:tc>
        <w:tc>
          <w:tcPr>
            <w:tcW w:w="3689" w:type="pct"/>
            <w:tcMar>
              <w:top w:w="15" w:type="dxa"/>
              <w:left w:w="15" w:type="dxa"/>
              <w:bottom w:w="15" w:type="dxa"/>
              <w:right w:w="15" w:type="dxa"/>
            </w:tcMar>
            <w:vAlign w:val="center"/>
            <w:hideMark/>
          </w:tcPr>
          <w:p w14:paraId="5A35858E" w14:textId="77777777" w:rsidR="000371F1" w:rsidRPr="00E118A3" w:rsidRDefault="000371F1" w:rsidP="0045793E">
            <w:pPr>
              <w:spacing w:after="0" w:line="240" w:lineRule="auto"/>
            </w:pPr>
            <w:r w:rsidRPr="00E118A3">
              <w:t>necklift*.mp.</w:t>
            </w:r>
          </w:p>
        </w:tc>
        <w:tc>
          <w:tcPr>
            <w:tcW w:w="877" w:type="pct"/>
            <w:tcMar>
              <w:top w:w="15" w:type="dxa"/>
              <w:left w:w="15" w:type="dxa"/>
              <w:bottom w:w="15" w:type="dxa"/>
              <w:right w:w="15" w:type="dxa"/>
            </w:tcMar>
            <w:vAlign w:val="center"/>
            <w:hideMark/>
          </w:tcPr>
          <w:p w14:paraId="525181DC" w14:textId="77777777" w:rsidR="000371F1" w:rsidRPr="00E118A3" w:rsidRDefault="000371F1" w:rsidP="0045793E">
            <w:pPr>
              <w:spacing w:after="0" w:line="240" w:lineRule="auto"/>
            </w:pPr>
            <w:r w:rsidRPr="00E118A3">
              <w:t>40</w:t>
            </w:r>
          </w:p>
        </w:tc>
      </w:tr>
      <w:tr w:rsidR="000371F1" w:rsidRPr="00B0481D" w14:paraId="182AC6A5" w14:textId="77777777" w:rsidTr="0045793E">
        <w:tc>
          <w:tcPr>
            <w:tcW w:w="434" w:type="pct"/>
            <w:tcMar>
              <w:top w:w="15" w:type="dxa"/>
              <w:left w:w="15" w:type="dxa"/>
              <w:bottom w:w="15" w:type="dxa"/>
              <w:right w:w="15" w:type="dxa"/>
            </w:tcMar>
            <w:vAlign w:val="center"/>
            <w:hideMark/>
          </w:tcPr>
          <w:p w14:paraId="563E12EE" w14:textId="77777777" w:rsidR="000371F1" w:rsidRPr="00E118A3" w:rsidRDefault="000371F1" w:rsidP="0045793E">
            <w:pPr>
              <w:spacing w:after="0" w:line="240" w:lineRule="auto"/>
            </w:pPr>
            <w:r w:rsidRPr="00E118A3">
              <w:t>8</w:t>
            </w:r>
          </w:p>
        </w:tc>
        <w:tc>
          <w:tcPr>
            <w:tcW w:w="3689" w:type="pct"/>
            <w:tcMar>
              <w:top w:w="15" w:type="dxa"/>
              <w:left w:w="15" w:type="dxa"/>
              <w:bottom w:w="15" w:type="dxa"/>
              <w:right w:w="15" w:type="dxa"/>
            </w:tcMar>
            <w:vAlign w:val="center"/>
            <w:hideMark/>
          </w:tcPr>
          <w:p w14:paraId="26692980" w14:textId="77777777" w:rsidR="000371F1" w:rsidRPr="00E118A3" w:rsidRDefault="000371F1" w:rsidP="0045793E">
            <w:pPr>
              <w:spacing w:after="0" w:line="240" w:lineRule="auto"/>
            </w:pPr>
            <w:r w:rsidRPr="00E118A3">
              <w:t>neck-lift*.mp.</w:t>
            </w:r>
          </w:p>
        </w:tc>
        <w:tc>
          <w:tcPr>
            <w:tcW w:w="877" w:type="pct"/>
            <w:tcMar>
              <w:top w:w="15" w:type="dxa"/>
              <w:left w:w="15" w:type="dxa"/>
              <w:bottom w:w="15" w:type="dxa"/>
              <w:right w:w="15" w:type="dxa"/>
            </w:tcMar>
            <w:vAlign w:val="center"/>
            <w:hideMark/>
          </w:tcPr>
          <w:p w14:paraId="2B69E2B3" w14:textId="77777777" w:rsidR="000371F1" w:rsidRPr="00E118A3" w:rsidRDefault="000371F1" w:rsidP="0045793E">
            <w:pPr>
              <w:spacing w:after="0" w:line="240" w:lineRule="auto"/>
            </w:pPr>
            <w:r w:rsidRPr="00E118A3">
              <w:t>262</w:t>
            </w:r>
          </w:p>
        </w:tc>
      </w:tr>
      <w:tr w:rsidR="000371F1" w:rsidRPr="00B0481D" w14:paraId="182175D6" w14:textId="77777777" w:rsidTr="0045793E">
        <w:tc>
          <w:tcPr>
            <w:tcW w:w="434" w:type="pct"/>
            <w:tcMar>
              <w:top w:w="15" w:type="dxa"/>
              <w:left w:w="15" w:type="dxa"/>
              <w:bottom w:w="15" w:type="dxa"/>
              <w:right w:w="15" w:type="dxa"/>
            </w:tcMar>
            <w:vAlign w:val="center"/>
            <w:hideMark/>
          </w:tcPr>
          <w:p w14:paraId="3C1364B5" w14:textId="77777777" w:rsidR="000371F1" w:rsidRPr="00E118A3" w:rsidRDefault="000371F1" w:rsidP="0045793E">
            <w:pPr>
              <w:spacing w:after="0" w:line="240" w:lineRule="auto"/>
            </w:pPr>
            <w:r w:rsidRPr="00E118A3">
              <w:t>9</w:t>
            </w:r>
          </w:p>
        </w:tc>
        <w:tc>
          <w:tcPr>
            <w:tcW w:w="3689" w:type="pct"/>
            <w:tcMar>
              <w:top w:w="15" w:type="dxa"/>
              <w:left w:w="15" w:type="dxa"/>
              <w:bottom w:w="15" w:type="dxa"/>
              <w:right w:w="15" w:type="dxa"/>
            </w:tcMar>
            <w:vAlign w:val="center"/>
            <w:hideMark/>
          </w:tcPr>
          <w:p w14:paraId="4F0B5982" w14:textId="77777777" w:rsidR="000371F1" w:rsidRPr="00E118A3" w:rsidRDefault="000371F1" w:rsidP="0045793E">
            <w:pPr>
              <w:spacing w:after="0" w:line="240" w:lineRule="auto"/>
            </w:pPr>
            <w:r w:rsidRPr="00E118A3">
              <w:t>or/1-8</w:t>
            </w:r>
          </w:p>
        </w:tc>
        <w:tc>
          <w:tcPr>
            <w:tcW w:w="877" w:type="pct"/>
            <w:tcMar>
              <w:top w:w="15" w:type="dxa"/>
              <w:left w:w="15" w:type="dxa"/>
              <w:bottom w:w="15" w:type="dxa"/>
              <w:right w:w="15" w:type="dxa"/>
            </w:tcMar>
            <w:vAlign w:val="center"/>
            <w:hideMark/>
          </w:tcPr>
          <w:p w14:paraId="01759D55" w14:textId="77777777" w:rsidR="000371F1" w:rsidRPr="00E118A3" w:rsidRDefault="000371F1" w:rsidP="0045793E">
            <w:pPr>
              <w:spacing w:after="0" w:line="240" w:lineRule="auto"/>
            </w:pPr>
            <w:r w:rsidRPr="00E118A3">
              <w:t>5,685</w:t>
            </w:r>
          </w:p>
        </w:tc>
      </w:tr>
      <w:tr w:rsidR="000371F1" w:rsidRPr="00B0481D" w14:paraId="140B82EF" w14:textId="77777777" w:rsidTr="0045793E">
        <w:tc>
          <w:tcPr>
            <w:tcW w:w="434" w:type="pct"/>
            <w:tcMar>
              <w:top w:w="15" w:type="dxa"/>
              <w:left w:w="15" w:type="dxa"/>
              <w:bottom w:w="15" w:type="dxa"/>
              <w:right w:w="15" w:type="dxa"/>
            </w:tcMar>
            <w:vAlign w:val="center"/>
            <w:hideMark/>
          </w:tcPr>
          <w:p w14:paraId="56B24FCF" w14:textId="77777777" w:rsidR="000371F1" w:rsidRPr="00E118A3" w:rsidRDefault="000371F1" w:rsidP="0045793E">
            <w:pPr>
              <w:spacing w:after="0" w:line="240" w:lineRule="auto"/>
            </w:pPr>
            <w:r w:rsidRPr="00E118A3">
              <w:t>10</w:t>
            </w:r>
          </w:p>
        </w:tc>
        <w:tc>
          <w:tcPr>
            <w:tcW w:w="3689" w:type="pct"/>
            <w:tcMar>
              <w:top w:w="15" w:type="dxa"/>
              <w:left w:w="15" w:type="dxa"/>
              <w:bottom w:w="15" w:type="dxa"/>
              <w:right w:w="15" w:type="dxa"/>
            </w:tcMar>
            <w:vAlign w:val="center"/>
            <w:hideMark/>
          </w:tcPr>
          <w:p w14:paraId="11AC9EF7" w14:textId="77777777" w:rsidR="000371F1" w:rsidRPr="00E118A3" w:rsidRDefault="000371F1" w:rsidP="0045793E">
            <w:pPr>
              <w:spacing w:after="0" w:line="240" w:lineRule="auto"/>
            </w:pPr>
            <w:r w:rsidRPr="00E118A3">
              <w:t>limit 9 to (english language and yr="2015 -Current")</w:t>
            </w:r>
          </w:p>
        </w:tc>
        <w:tc>
          <w:tcPr>
            <w:tcW w:w="877" w:type="pct"/>
            <w:tcMar>
              <w:top w:w="15" w:type="dxa"/>
              <w:left w:w="15" w:type="dxa"/>
              <w:bottom w:w="15" w:type="dxa"/>
              <w:right w:w="15" w:type="dxa"/>
            </w:tcMar>
            <w:vAlign w:val="center"/>
            <w:hideMark/>
          </w:tcPr>
          <w:p w14:paraId="265B34F6" w14:textId="77777777" w:rsidR="000371F1" w:rsidRPr="00E118A3" w:rsidRDefault="000371F1" w:rsidP="0045793E">
            <w:pPr>
              <w:spacing w:after="0" w:line="240" w:lineRule="auto"/>
            </w:pPr>
            <w:r w:rsidRPr="00E118A3">
              <w:t>1,896</w:t>
            </w:r>
          </w:p>
        </w:tc>
      </w:tr>
      <w:tr w:rsidR="000371F1" w:rsidRPr="00B0481D" w14:paraId="3ECFC46A" w14:textId="77777777" w:rsidTr="0045793E">
        <w:tc>
          <w:tcPr>
            <w:tcW w:w="434" w:type="pct"/>
            <w:tcMar>
              <w:top w:w="15" w:type="dxa"/>
              <w:left w:w="15" w:type="dxa"/>
              <w:bottom w:w="15" w:type="dxa"/>
              <w:right w:w="15" w:type="dxa"/>
            </w:tcMar>
            <w:vAlign w:val="center"/>
            <w:hideMark/>
          </w:tcPr>
          <w:p w14:paraId="18AABBD4" w14:textId="77777777" w:rsidR="000371F1" w:rsidRPr="00E118A3" w:rsidRDefault="000371F1" w:rsidP="0045793E">
            <w:pPr>
              <w:spacing w:after="0" w:line="240" w:lineRule="auto"/>
            </w:pPr>
            <w:r w:rsidRPr="00E118A3">
              <w:t>11</w:t>
            </w:r>
          </w:p>
        </w:tc>
        <w:tc>
          <w:tcPr>
            <w:tcW w:w="3689" w:type="pct"/>
            <w:tcMar>
              <w:top w:w="15" w:type="dxa"/>
              <w:left w:w="15" w:type="dxa"/>
              <w:bottom w:w="15" w:type="dxa"/>
              <w:right w:w="15" w:type="dxa"/>
            </w:tcMar>
            <w:vAlign w:val="center"/>
            <w:hideMark/>
          </w:tcPr>
          <w:p w14:paraId="68F485E9" w14:textId="77777777" w:rsidR="000371F1" w:rsidRPr="00E118A3" w:rsidRDefault="000371F1" w:rsidP="0045793E">
            <w:pPr>
              <w:spacing w:after="0" w:line="240" w:lineRule="auto"/>
            </w:pPr>
            <w:r w:rsidRPr="00E118A3">
              <w:t>exp Critical Pathways/</w:t>
            </w:r>
          </w:p>
        </w:tc>
        <w:tc>
          <w:tcPr>
            <w:tcW w:w="877" w:type="pct"/>
            <w:tcMar>
              <w:top w:w="15" w:type="dxa"/>
              <w:left w:w="15" w:type="dxa"/>
              <w:bottom w:w="15" w:type="dxa"/>
              <w:right w:w="15" w:type="dxa"/>
            </w:tcMar>
            <w:vAlign w:val="center"/>
            <w:hideMark/>
          </w:tcPr>
          <w:p w14:paraId="07C229F1" w14:textId="77777777" w:rsidR="000371F1" w:rsidRPr="00E118A3" w:rsidRDefault="000371F1" w:rsidP="0045793E">
            <w:pPr>
              <w:spacing w:after="0" w:line="240" w:lineRule="auto"/>
            </w:pPr>
            <w:r w:rsidRPr="00E118A3">
              <w:t>8,237</w:t>
            </w:r>
          </w:p>
        </w:tc>
      </w:tr>
      <w:tr w:rsidR="000371F1" w:rsidRPr="00B0481D" w14:paraId="5F264242" w14:textId="77777777" w:rsidTr="0045793E">
        <w:tc>
          <w:tcPr>
            <w:tcW w:w="434" w:type="pct"/>
            <w:tcMar>
              <w:top w:w="15" w:type="dxa"/>
              <w:left w:w="15" w:type="dxa"/>
              <w:bottom w:w="15" w:type="dxa"/>
              <w:right w:w="15" w:type="dxa"/>
            </w:tcMar>
            <w:vAlign w:val="center"/>
            <w:hideMark/>
          </w:tcPr>
          <w:p w14:paraId="43AEE362" w14:textId="77777777" w:rsidR="000371F1" w:rsidRPr="00E118A3" w:rsidRDefault="000371F1" w:rsidP="0045793E">
            <w:pPr>
              <w:spacing w:after="0" w:line="240" w:lineRule="auto"/>
            </w:pPr>
            <w:r w:rsidRPr="00E118A3">
              <w:t>12</w:t>
            </w:r>
          </w:p>
        </w:tc>
        <w:tc>
          <w:tcPr>
            <w:tcW w:w="3689" w:type="pct"/>
            <w:tcMar>
              <w:top w:w="15" w:type="dxa"/>
              <w:left w:w="15" w:type="dxa"/>
              <w:bottom w:w="15" w:type="dxa"/>
              <w:right w:w="15" w:type="dxa"/>
            </w:tcMar>
            <w:vAlign w:val="center"/>
            <w:hideMark/>
          </w:tcPr>
          <w:p w14:paraId="27560E61" w14:textId="77777777" w:rsidR="000371F1" w:rsidRPr="00E118A3" w:rsidRDefault="000371F1" w:rsidP="0045793E">
            <w:pPr>
              <w:spacing w:after="0" w:line="240" w:lineRule="auto"/>
            </w:pPr>
            <w:r w:rsidRPr="00E118A3">
              <w:t>exp Clinical Protocols/</w:t>
            </w:r>
          </w:p>
        </w:tc>
        <w:tc>
          <w:tcPr>
            <w:tcW w:w="877" w:type="pct"/>
            <w:tcMar>
              <w:top w:w="15" w:type="dxa"/>
              <w:left w:w="15" w:type="dxa"/>
              <w:bottom w:w="15" w:type="dxa"/>
              <w:right w:w="15" w:type="dxa"/>
            </w:tcMar>
            <w:vAlign w:val="center"/>
            <w:hideMark/>
          </w:tcPr>
          <w:p w14:paraId="2B7268AB" w14:textId="77777777" w:rsidR="000371F1" w:rsidRPr="00E118A3" w:rsidRDefault="000371F1" w:rsidP="0045793E">
            <w:pPr>
              <w:spacing w:after="0" w:line="240" w:lineRule="auto"/>
            </w:pPr>
            <w:r w:rsidRPr="00E118A3">
              <w:t>198,982</w:t>
            </w:r>
          </w:p>
        </w:tc>
      </w:tr>
      <w:tr w:rsidR="000371F1" w:rsidRPr="00B0481D" w14:paraId="175D8003" w14:textId="77777777" w:rsidTr="0045793E">
        <w:tc>
          <w:tcPr>
            <w:tcW w:w="434" w:type="pct"/>
            <w:tcMar>
              <w:top w:w="15" w:type="dxa"/>
              <w:left w:w="15" w:type="dxa"/>
              <w:bottom w:w="15" w:type="dxa"/>
              <w:right w:w="15" w:type="dxa"/>
            </w:tcMar>
            <w:vAlign w:val="center"/>
            <w:hideMark/>
          </w:tcPr>
          <w:p w14:paraId="59C8CB85" w14:textId="77777777" w:rsidR="000371F1" w:rsidRPr="00E118A3" w:rsidRDefault="000371F1" w:rsidP="0045793E">
            <w:pPr>
              <w:spacing w:after="0" w:line="240" w:lineRule="auto"/>
            </w:pPr>
            <w:r w:rsidRPr="00E118A3">
              <w:t>13</w:t>
            </w:r>
          </w:p>
        </w:tc>
        <w:tc>
          <w:tcPr>
            <w:tcW w:w="3689" w:type="pct"/>
            <w:tcMar>
              <w:top w:w="15" w:type="dxa"/>
              <w:left w:w="15" w:type="dxa"/>
              <w:bottom w:w="15" w:type="dxa"/>
              <w:right w:w="15" w:type="dxa"/>
            </w:tcMar>
            <w:vAlign w:val="center"/>
            <w:hideMark/>
          </w:tcPr>
          <w:p w14:paraId="07349C97" w14:textId="77777777" w:rsidR="000371F1" w:rsidRPr="00E118A3" w:rsidRDefault="000371F1" w:rsidP="0045793E">
            <w:pPr>
              <w:spacing w:after="0" w:line="240" w:lineRule="auto"/>
            </w:pPr>
            <w:r w:rsidRPr="00E118A3">
              <w:t>exp Consensus Development Conference/ or exp Consensus/ or exp Consensus Development Conferences as Topic/</w:t>
            </w:r>
          </w:p>
        </w:tc>
        <w:tc>
          <w:tcPr>
            <w:tcW w:w="877" w:type="pct"/>
            <w:tcMar>
              <w:top w:w="15" w:type="dxa"/>
              <w:left w:w="15" w:type="dxa"/>
              <w:bottom w:w="15" w:type="dxa"/>
              <w:right w:w="15" w:type="dxa"/>
            </w:tcMar>
            <w:vAlign w:val="center"/>
            <w:hideMark/>
          </w:tcPr>
          <w:p w14:paraId="0867F638" w14:textId="77777777" w:rsidR="000371F1" w:rsidRPr="00E118A3" w:rsidRDefault="000371F1" w:rsidP="0045793E">
            <w:pPr>
              <w:spacing w:after="0" w:line="240" w:lineRule="auto"/>
            </w:pPr>
            <w:r w:rsidRPr="00E118A3">
              <w:t>39,278</w:t>
            </w:r>
          </w:p>
        </w:tc>
      </w:tr>
      <w:tr w:rsidR="000371F1" w:rsidRPr="00B0481D" w14:paraId="26BE4733" w14:textId="77777777" w:rsidTr="0045793E">
        <w:tc>
          <w:tcPr>
            <w:tcW w:w="434" w:type="pct"/>
            <w:tcMar>
              <w:top w:w="15" w:type="dxa"/>
              <w:left w:w="15" w:type="dxa"/>
              <w:bottom w:w="15" w:type="dxa"/>
              <w:right w:w="15" w:type="dxa"/>
            </w:tcMar>
            <w:vAlign w:val="center"/>
            <w:hideMark/>
          </w:tcPr>
          <w:p w14:paraId="7904B95F" w14:textId="77777777" w:rsidR="000371F1" w:rsidRPr="00E118A3" w:rsidRDefault="000371F1" w:rsidP="0045793E">
            <w:pPr>
              <w:spacing w:after="0" w:line="240" w:lineRule="auto"/>
            </w:pPr>
            <w:r w:rsidRPr="00E118A3">
              <w:t>14</w:t>
            </w:r>
          </w:p>
        </w:tc>
        <w:tc>
          <w:tcPr>
            <w:tcW w:w="3689" w:type="pct"/>
            <w:tcMar>
              <w:top w:w="15" w:type="dxa"/>
              <w:left w:w="15" w:type="dxa"/>
              <w:bottom w:w="15" w:type="dxa"/>
              <w:right w:w="15" w:type="dxa"/>
            </w:tcMar>
            <w:vAlign w:val="center"/>
            <w:hideMark/>
          </w:tcPr>
          <w:p w14:paraId="454859E3" w14:textId="77777777" w:rsidR="000371F1" w:rsidRPr="00E118A3" w:rsidRDefault="000371F1" w:rsidP="0045793E">
            <w:pPr>
              <w:spacing w:after="0" w:line="240" w:lineRule="auto"/>
            </w:pPr>
            <w:r w:rsidRPr="00E118A3">
              <w:t>Critical Pathways/</w:t>
            </w:r>
          </w:p>
        </w:tc>
        <w:tc>
          <w:tcPr>
            <w:tcW w:w="877" w:type="pct"/>
            <w:tcMar>
              <w:top w:w="15" w:type="dxa"/>
              <w:left w:w="15" w:type="dxa"/>
              <w:bottom w:w="15" w:type="dxa"/>
              <w:right w:w="15" w:type="dxa"/>
            </w:tcMar>
            <w:vAlign w:val="center"/>
            <w:hideMark/>
          </w:tcPr>
          <w:p w14:paraId="03AD345B" w14:textId="77777777" w:rsidR="000371F1" w:rsidRPr="00E118A3" w:rsidRDefault="000371F1" w:rsidP="0045793E">
            <w:pPr>
              <w:spacing w:after="0" w:line="240" w:lineRule="auto"/>
            </w:pPr>
            <w:r w:rsidRPr="00E118A3">
              <w:t>8,237</w:t>
            </w:r>
          </w:p>
        </w:tc>
      </w:tr>
      <w:tr w:rsidR="000371F1" w:rsidRPr="00B0481D" w14:paraId="190324A6" w14:textId="77777777" w:rsidTr="0045793E">
        <w:tc>
          <w:tcPr>
            <w:tcW w:w="434" w:type="pct"/>
            <w:tcMar>
              <w:top w:w="15" w:type="dxa"/>
              <w:left w:w="15" w:type="dxa"/>
              <w:bottom w:w="15" w:type="dxa"/>
              <w:right w:w="15" w:type="dxa"/>
            </w:tcMar>
            <w:vAlign w:val="center"/>
            <w:hideMark/>
          </w:tcPr>
          <w:p w14:paraId="6CBE3595" w14:textId="77777777" w:rsidR="000371F1" w:rsidRPr="00E118A3" w:rsidRDefault="000371F1" w:rsidP="0045793E">
            <w:pPr>
              <w:spacing w:after="0" w:line="240" w:lineRule="auto"/>
            </w:pPr>
            <w:r w:rsidRPr="00E118A3">
              <w:t>15</w:t>
            </w:r>
          </w:p>
        </w:tc>
        <w:tc>
          <w:tcPr>
            <w:tcW w:w="3689" w:type="pct"/>
            <w:tcMar>
              <w:top w:w="15" w:type="dxa"/>
              <w:left w:w="15" w:type="dxa"/>
              <w:bottom w:w="15" w:type="dxa"/>
              <w:right w:w="15" w:type="dxa"/>
            </w:tcMar>
            <w:vAlign w:val="center"/>
            <w:hideMark/>
          </w:tcPr>
          <w:p w14:paraId="581A8EF6" w14:textId="77777777" w:rsidR="000371F1" w:rsidRPr="00E118A3" w:rsidRDefault="000371F1" w:rsidP="0045793E">
            <w:pPr>
              <w:spacing w:after="0" w:line="240" w:lineRule="auto"/>
            </w:pPr>
            <w:r w:rsidRPr="00E118A3">
              <w:t>exp Guideline/</w:t>
            </w:r>
          </w:p>
        </w:tc>
        <w:tc>
          <w:tcPr>
            <w:tcW w:w="877" w:type="pct"/>
            <w:tcMar>
              <w:top w:w="15" w:type="dxa"/>
              <w:left w:w="15" w:type="dxa"/>
              <w:bottom w:w="15" w:type="dxa"/>
              <w:right w:w="15" w:type="dxa"/>
            </w:tcMar>
            <w:vAlign w:val="center"/>
            <w:hideMark/>
          </w:tcPr>
          <w:p w14:paraId="0DEB5AB2" w14:textId="77777777" w:rsidR="000371F1" w:rsidRPr="00E118A3" w:rsidRDefault="000371F1" w:rsidP="0045793E">
            <w:pPr>
              <w:spacing w:after="0" w:line="240" w:lineRule="auto"/>
            </w:pPr>
            <w:r w:rsidRPr="00E118A3">
              <w:t>40,114</w:t>
            </w:r>
          </w:p>
        </w:tc>
      </w:tr>
      <w:tr w:rsidR="000371F1" w:rsidRPr="00B0481D" w14:paraId="63D2663A" w14:textId="77777777" w:rsidTr="0045793E">
        <w:tc>
          <w:tcPr>
            <w:tcW w:w="434" w:type="pct"/>
            <w:tcMar>
              <w:top w:w="15" w:type="dxa"/>
              <w:left w:w="15" w:type="dxa"/>
              <w:bottom w:w="15" w:type="dxa"/>
              <w:right w:w="15" w:type="dxa"/>
            </w:tcMar>
            <w:vAlign w:val="center"/>
            <w:hideMark/>
          </w:tcPr>
          <w:p w14:paraId="28A1C0CF" w14:textId="77777777" w:rsidR="000371F1" w:rsidRPr="00E118A3" w:rsidRDefault="000371F1" w:rsidP="0045793E">
            <w:pPr>
              <w:spacing w:after="0" w:line="240" w:lineRule="auto"/>
            </w:pPr>
            <w:r w:rsidRPr="00E118A3">
              <w:t>16</w:t>
            </w:r>
          </w:p>
        </w:tc>
        <w:tc>
          <w:tcPr>
            <w:tcW w:w="3689" w:type="pct"/>
            <w:tcMar>
              <w:top w:w="15" w:type="dxa"/>
              <w:left w:w="15" w:type="dxa"/>
              <w:bottom w:w="15" w:type="dxa"/>
              <w:right w:w="15" w:type="dxa"/>
            </w:tcMar>
            <w:vAlign w:val="center"/>
            <w:hideMark/>
          </w:tcPr>
          <w:p w14:paraId="606E8A22" w14:textId="77777777" w:rsidR="000371F1" w:rsidRPr="00E118A3" w:rsidRDefault="000371F1" w:rsidP="0045793E">
            <w:pPr>
              <w:spacing w:after="0" w:line="240" w:lineRule="auto"/>
            </w:pPr>
            <w:r w:rsidRPr="00E118A3">
              <w:t>guidelines as topic/</w:t>
            </w:r>
          </w:p>
        </w:tc>
        <w:tc>
          <w:tcPr>
            <w:tcW w:w="877" w:type="pct"/>
            <w:tcMar>
              <w:top w:w="15" w:type="dxa"/>
              <w:left w:w="15" w:type="dxa"/>
              <w:bottom w:w="15" w:type="dxa"/>
              <w:right w:w="15" w:type="dxa"/>
            </w:tcMar>
            <w:vAlign w:val="center"/>
            <w:hideMark/>
          </w:tcPr>
          <w:p w14:paraId="0BB61864" w14:textId="77777777" w:rsidR="000371F1" w:rsidRPr="00E118A3" w:rsidRDefault="000371F1" w:rsidP="0045793E">
            <w:pPr>
              <w:spacing w:after="0" w:line="240" w:lineRule="auto"/>
            </w:pPr>
            <w:r w:rsidRPr="00E118A3">
              <w:t>42,485</w:t>
            </w:r>
          </w:p>
        </w:tc>
      </w:tr>
      <w:tr w:rsidR="000371F1" w:rsidRPr="00B0481D" w14:paraId="6C6D4533" w14:textId="77777777" w:rsidTr="0045793E">
        <w:tc>
          <w:tcPr>
            <w:tcW w:w="434" w:type="pct"/>
            <w:tcMar>
              <w:top w:w="15" w:type="dxa"/>
              <w:left w:w="15" w:type="dxa"/>
              <w:bottom w:w="15" w:type="dxa"/>
              <w:right w:w="15" w:type="dxa"/>
            </w:tcMar>
            <w:vAlign w:val="center"/>
            <w:hideMark/>
          </w:tcPr>
          <w:p w14:paraId="19A8BE3A" w14:textId="77777777" w:rsidR="000371F1" w:rsidRPr="00E118A3" w:rsidRDefault="000371F1" w:rsidP="0045793E">
            <w:pPr>
              <w:spacing w:after="0" w:line="240" w:lineRule="auto"/>
            </w:pPr>
            <w:r w:rsidRPr="00E118A3">
              <w:t>17</w:t>
            </w:r>
          </w:p>
        </w:tc>
        <w:tc>
          <w:tcPr>
            <w:tcW w:w="3689" w:type="pct"/>
            <w:tcMar>
              <w:top w:w="15" w:type="dxa"/>
              <w:left w:w="15" w:type="dxa"/>
              <w:bottom w:w="15" w:type="dxa"/>
              <w:right w:w="15" w:type="dxa"/>
            </w:tcMar>
            <w:vAlign w:val="center"/>
            <w:hideMark/>
          </w:tcPr>
          <w:p w14:paraId="799673E9" w14:textId="77777777" w:rsidR="000371F1" w:rsidRPr="00E118A3" w:rsidRDefault="000371F1" w:rsidP="0045793E">
            <w:pPr>
              <w:spacing w:after="0" w:line="240" w:lineRule="auto"/>
            </w:pPr>
            <w:r w:rsidRPr="00E118A3">
              <w:t>exp practice guideline/</w:t>
            </w:r>
          </w:p>
        </w:tc>
        <w:tc>
          <w:tcPr>
            <w:tcW w:w="877" w:type="pct"/>
            <w:tcMar>
              <w:top w:w="15" w:type="dxa"/>
              <w:left w:w="15" w:type="dxa"/>
              <w:bottom w:w="15" w:type="dxa"/>
              <w:right w:w="15" w:type="dxa"/>
            </w:tcMar>
            <w:vAlign w:val="center"/>
            <w:hideMark/>
          </w:tcPr>
          <w:p w14:paraId="1BE99E5E" w14:textId="77777777" w:rsidR="000371F1" w:rsidRPr="00E118A3" w:rsidRDefault="000371F1" w:rsidP="0045793E">
            <w:pPr>
              <w:spacing w:after="0" w:line="240" w:lineRule="auto"/>
            </w:pPr>
            <w:r w:rsidRPr="00E118A3">
              <w:t>33,051</w:t>
            </w:r>
          </w:p>
        </w:tc>
      </w:tr>
      <w:tr w:rsidR="000371F1" w:rsidRPr="00B0481D" w14:paraId="2920AE60" w14:textId="77777777" w:rsidTr="0045793E">
        <w:tc>
          <w:tcPr>
            <w:tcW w:w="434" w:type="pct"/>
            <w:tcMar>
              <w:top w:w="15" w:type="dxa"/>
              <w:left w:w="15" w:type="dxa"/>
              <w:bottom w:w="15" w:type="dxa"/>
              <w:right w:w="15" w:type="dxa"/>
            </w:tcMar>
            <w:vAlign w:val="center"/>
            <w:hideMark/>
          </w:tcPr>
          <w:p w14:paraId="3704B98D" w14:textId="77777777" w:rsidR="000371F1" w:rsidRPr="00E118A3" w:rsidRDefault="000371F1" w:rsidP="0045793E">
            <w:pPr>
              <w:spacing w:after="0" w:line="240" w:lineRule="auto"/>
            </w:pPr>
            <w:r w:rsidRPr="00E118A3">
              <w:t>18</w:t>
            </w:r>
          </w:p>
        </w:tc>
        <w:tc>
          <w:tcPr>
            <w:tcW w:w="3689" w:type="pct"/>
            <w:tcMar>
              <w:top w:w="15" w:type="dxa"/>
              <w:left w:w="15" w:type="dxa"/>
              <w:bottom w:w="15" w:type="dxa"/>
              <w:right w:w="15" w:type="dxa"/>
            </w:tcMar>
            <w:vAlign w:val="center"/>
            <w:hideMark/>
          </w:tcPr>
          <w:p w14:paraId="4B4F3229" w14:textId="77777777" w:rsidR="000371F1" w:rsidRPr="00E118A3" w:rsidRDefault="000371F1" w:rsidP="0045793E">
            <w:pPr>
              <w:spacing w:after="0" w:line="240" w:lineRule="auto"/>
            </w:pPr>
            <w:r w:rsidRPr="00E118A3">
              <w:t>practice guidelines as topic/</w:t>
            </w:r>
          </w:p>
        </w:tc>
        <w:tc>
          <w:tcPr>
            <w:tcW w:w="877" w:type="pct"/>
            <w:tcMar>
              <w:top w:w="15" w:type="dxa"/>
              <w:left w:w="15" w:type="dxa"/>
              <w:bottom w:w="15" w:type="dxa"/>
              <w:right w:w="15" w:type="dxa"/>
            </w:tcMar>
            <w:vAlign w:val="center"/>
            <w:hideMark/>
          </w:tcPr>
          <w:p w14:paraId="384423DD" w14:textId="77777777" w:rsidR="000371F1" w:rsidRPr="00E118A3" w:rsidRDefault="000371F1" w:rsidP="0045793E">
            <w:pPr>
              <w:spacing w:after="0" w:line="240" w:lineRule="auto"/>
            </w:pPr>
            <w:r w:rsidRPr="00E118A3">
              <w:t>131,375</w:t>
            </w:r>
          </w:p>
        </w:tc>
      </w:tr>
      <w:tr w:rsidR="000371F1" w:rsidRPr="00B0481D" w14:paraId="0C30BE23" w14:textId="77777777" w:rsidTr="0045793E">
        <w:tc>
          <w:tcPr>
            <w:tcW w:w="434" w:type="pct"/>
            <w:tcMar>
              <w:top w:w="15" w:type="dxa"/>
              <w:left w:w="15" w:type="dxa"/>
              <w:bottom w:w="15" w:type="dxa"/>
              <w:right w:w="15" w:type="dxa"/>
            </w:tcMar>
            <w:vAlign w:val="center"/>
            <w:hideMark/>
          </w:tcPr>
          <w:p w14:paraId="65CE7197" w14:textId="77777777" w:rsidR="000371F1" w:rsidRPr="00E118A3" w:rsidRDefault="000371F1" w:rsidP="0045793E">
            <w:pPr>
              <w:spacing w:after="0" w:line="240" w:lineRule="auto"/>
            </w:pPr>
            <w:r w:rsidRPr="00E118A3">
              <w:t>19</w:t>
            </w:r>
          </w:p>
        </w:tc>
        <w:tc>
          <w:tcPr>
            <w:tcW w:w="3689" w:type="pct"/>
            <w:tcMar>
              <w:top w:w="15" w:type="dxa"/>
              <w:left w:w="15" w:type="dxa"/>
              <w:bottom w:w="15" w:type="dxa"/>
              <w:right w:w="15" w:type="dxa"/>
            </w:tcMar>
            <w:vAlign w:val="center"/>
            <w:hideMark/>
          </w:tcPr>
          <w:p w14:paraId="3BE88A18" w14:textId="77777777" w:rsidR="000371F1" w:rsidRPr="00E118A3" w:rsidRDefault="000371F1" w:rsidP="0045793E">
            <w:pPr>
              <w:spacing w:after="0" w:line="240" w:lineRule="auto"/>
            </w:pPr>
            <w:r w:rsidRPr="00E118A3">
              <w:t>health planning guidelines/</w:t>
            </w:r>
          </w:p>
        </w:tc>
        <w:tc>
          <w:tcPr>
            <w:tcW w:w="877" w:type="pct"/>
            <w:tcMar>
              <w:top w:w="15" w:type="dxa"/>
              <w:left w:w="15" w:type="dxa"/>
              <w:bottom w:w="15" w:type="dxa"/>
              <w:right w:w="15" w:type="dxa"/>
            </w:tcMar>
            <w:vAlign w:val="center"/>
            <w:hideMark/>
          </w:tcPr>
          <w:p w14:paraId="63068532" w14:textId="77777777" w:rsidR="000371F1" w:rsidRPr="00E118A3" w:rsidRDefault="000371F1" w:rsidP="0045793E">
            <w:pPr>
              <w:spacing w:after="0" w:line="240" w:lineRule="auto"/>
            </w:pPr>
            <w:r w:rsidRPr="00E118A3">
              <w:t>4,168</w:t>
            </w:r>
          </w:p>
        </w:tc>
      </w:tr>
      <w:tr w:rsidR="000371F1" w:rsidRPr="00B0481D" w14:paraId="2DDAEDB9" w14:textId="77777777" w:rsidTr="0045793E">
        <w:tc>
          <w:tcPr>
            <w:tcW w:w="434" w:type="pct"/>
            <w:tcMar>
              <w:top w:w="15" w:type="dxa"/>
              <w:left w:w="15" w:type="dxa"/>
              <w:bottom w:w="15" w:type="dxa"/>
              <w:right w:w="15" w:type="dxa"/>
            </w:tcMar>
            <w:vAlign w:val="center"/>
            <w:hideMark/>
          </w:tcPr>
          <w:p w14:paraId="44FAF891" w14:textId="77777777" w:rsidR="000371F1" w:rsidRPr="00E118A3" w:rsidRDefault="000371F1" w:rsidP="0045793E">
            <w:pPr>
              <w:spacing w:after="0" w:line="240" w:lineRule="auto"/>
            </w:pPr>
            <w:r w:rsidRPr="00E118A3">
              <w:lastRenderedPageBreak/>
              <w:t>20</w:t>
            </w:r>
          </w:p>
        </w:tc>
        <w:tc>
          <w:tcPr>
            <w:tcW w:w="3689" w:type="pct"/>
            <w:tcMar>
              <w:top w:w="15" w:type="dxa"/>
              <w:left w:w="15" w:type="dxa"/>
              <w:bottom w:w="15" w:type="dxa"/>
              <w:right w:w="15" w:type="dxa"/>
            </w:tcMar>
            <w:vAlign w:val="center"/>
            <w:hideMark/>
          </w:tcPr>
          <w:p w14:paraId="6B1EA0D3" w14:textId="77777777" w:rsidR="000371F1" w:rsidRPr="00E118A3" w:rsidRDefault="000371F1" w:rsidP="0045793E">
            <w:pPr>
              <w:spacing w:after="0" w:line="240" w:lineRule="auto"/>
            </w:pPr>
            <w:r w:rsidRPr="00E118A3">
              <w:t>(guideline or practice guideline or consensus development conference or consensus development conference, NIH).pt.</w:t>
            </w:r>
          </w:p>
        </w:tc>
        <w:tc>
          <w:tcPr>
            <w:tcW w:w="877" w:type="pct"/>
            <w:tcMar>
              <w:top w:w="15" w:type="dxa"/>
              <w:left w:w="15" w:type="dxa"/>
              <w:bottom w:w="15" w:type="dxa"/>
              <w:right w:w="15" w:type="dxa"/>
            </w:tcMar>
            <w:vAlign w:val="center"/>
            <w:hideMark/>
          </w:tcPr>
          <w:p w14:paraId="110CA9CE" w14:textId="77777777" w:rsidR="000371F1" w:rsidRPr="00E118A3" w:rsidRDefault="000371F1" w:rsidP="0045793E">
            <w:pPr>
              <w:spacing w:after="0" w:line="240" w:lineRule="auto"/>
            </w:pPr>
            <w:r w:rsidRPr="00E118A3">
              <w:t>50,257</w:t>
            </w:r>
          </w:p>
        </w:tc>
      </w:tr>
      <w:tr w:rsidR="000371F1" w:rsidRPr="00B0481D" w14:paraId="6B2DB7C7" w14:textId="77777777" w:rsidTr="0045793E">
        <w:tc>
          <w:tcPr>
            <w:tcW w:w="434" w:type="pct"/>
            <w:tcMar>
              <w:top w:w="15" w:type="dxa"/>
              <w:left w:w="15" w:type="dxa"/>
              <w:bottom w:w="15" w:type="dxa"/>
              <w:right w:w="15" w:type="dxa"/>
            </w:tcMar>
            <w:vAlign w:val="center"/>
            <w:hideMark/>
          </w:tcPr>
          <w:p w14:paraId="42DE9A4A" w14:textId="77777777" w:rsidR="000371F1" w:rsidRPr="00E118A3" w:rsidRDefault="000371F1" w:rsidP="0045793E">
            <w:pPr>
              <w:spacing w:after="0" w:line="240" w:lineRule="auto"/>
            </w:pPr>
            <w:r w:rsidRPr="00E118A3">
              <w:t>21</w:t>
            </w:r>
          </w:p>
        </w:tc>
        <w:tc>
          <w:tcPr>
            <w:tcW w:w="3689" w:type="pct"/>
            <w:tcMar>
              <w:top w:w="15" w:type="dxa"/>
              <w:left w:w="15" w:type="dxa"/>
              <w:bottom w:w="15" w:type="dxa"/>
              <w:right w:w="15" w:type="dxa"/>
            </w:tcMar>
            <w:vAlign w:val="center"/>
            <w:hideMark/>
          </w:tcPr>
          <w:p w14:paraId="70D1D8AE" w14:textId="77777777" w:rsidR="000371F1" w:rsidRPr="00E118A3" w:rsidRDefault="000371F1" w:rsidP="0045793E">
            <w:pPr>
              <w:spacing w:after="0" w:line="240" w:lineRule="auto"/>
            </w:pPr>
            <w:r w:rsidRPr="00E118A3">
              <w:t>(position statement* or policy statement* or practice parameter* or best practice*).ti,ab,kf,kw.</w:t>
            </w:r>
          </w:p>
        </w:tc>
        <w:tc>
          <w:tcPr>
            <w:tcW w:w="877" w:type="pct"/>
            <w:tcMar>
              <w:top w:w="15" w:type="dxa"/>
              <w:left w:w="15" w:type="dxa"/>
              <w:bottom w:w="15" w:type="dxa"/>
              <w:right w:w="15" w:type="dxa"/>
            </w:tcMar>
            <w:vAlign w:val="center"/>
            <w:hideMark/>
          </w:tcPr>
          <w:p w14:paraId="3D727636" w14:textId="77777777" w:rsidR="000371F1" w:rsidRPr="00E118A3" w:rsidRDefault="000371F1" w:rsidP="0045793E">
            <w:pPr>
              <w:spacing w:after="0" w:line="240" w:lineRule="auto"/>
            </w:pPr>
            <w:r w:rsidRPr="00E118A3">
              <w:t>54,015</w:t>
            </w:r>
          </w:p>
        </w:tc>
      </w:tr>
      <w:tr w:rsidR="000371F1" w:rsidRPr="00B0481D" w14:paraId="5E55BB65" w14:textId="77777777" w:rsidTr="0045793E">
        <w:tc>
          <w:tcPr>
            <w:tcW w:w="434" w:type="pct"/>
            <w:tcMar>
              <w:top w:w="15" w:type="dxa"/>
              <w:left w:w="15" w:type="dxa"/>
              <w:bottom w:w="15" w:type="dxa"/>
              <w:right w:w="15" w:type="dxa"/>
            </w:tcMar>
            <w:vAlign w:val="center"/>
            <w:hideMark/>
          </w:tcPr>
          <w:p w14:paraId="53F0360B" w14:textId="77777777" w:rsidR="000371F1" w:rsidRPr="00E118A3" w:rsidRDefault="000371F1" w:rsidP="0045793E">
            <w:pPr>
              <w:spacing w:after="0" w:line="240" w:lineRule="auto"/>
            </w:pPr>
            <w:r w:rsidRPr="00E118A3">
              <w:t>22</w:t>
            </w:r>
          </w:p>
        </w:tc>
        <w:tc>
          <w:tcPr>
            <w:tcW w:w="3689" w:type="pct"/>
            <w:tcMar>
              <w:top w:w="15" w:type="dxa"/>
              <w:left w:w="15" w:type="dxa"/>
              <w:bottom w:w="15" w:type="dxa"/>
              <w:right w:w="15" w:type="dxa"/>
            </w:tcMar>
            <w:vAlign w:val="center"/>
            <w:hideMark/>
          </w:tcPr>
          <w:p w14:paraId="41561B70" w14:textId="77777777" w:rsidR="000371F1" w:rsidRPr="00E118A3" w:rsidRDefault="000371F1" w:rsidP="0045793E">
            <w:pPr>
              <w:spacing w:after="0" w:line="240" w:lineRule="auto"/>
            </w:pPr>
            <w:r w:rsidRPr="00E118A3">
              <w:t>(standards or guideline or guidelines).ti,kf,kw.</w:t>
            </w:r>
          </w:p>
        </w:tc>
        <w:tc>
          <w:tcPr>
            <w:tcW w:w="877" w:type="pct"/>
            <w:tcMar>
              <w:top w:w="15" w:type="dxa"/>
              <w:left w:w="15" w:type="dxa"/>
              <w:bottom w:w="15" w:type="dxa"/>
              <w:right w:w="15" w:type="dxa"/>
            </w:tcMar>
            <w:vAlign w:val="center"/>
            <w:hideMark/>
          </w:tcPr>
          <w:p w14:paraId="1F67708E" w14:textId="77777777" w:rsidR="000371F1" w:rsidRPr="00E118A3" w:rsidRDefault="000371F1" w:rsidP="0045793E">
            <w:pPr>
              <w:spacing w:after="0" w:line="240" w:lineRule="auto"/>
            </w:pPr>
            <w:r w:rsidRPr="00E118A3">
              <w:t>149,552</w:t>
            </w:r>
          </w:p>
        </w:tc>
      </w:tr>
      <w:tr w:rsidR="000371F1" w:rsidRPr="00B0481D" w14:paraId="2B0FCD5A" w14:textId="77777777" w:rsidTr="0045793E">
        <w:tc>
          <w:tcPr>
            <w:tcW w:w="434" w:type="pct"/>
            <w:tcMar>
              <w:top w:w="15" w:type="dxa"/>
              <w:left w:w="15" w:type="dxa"/>
              <w:bottom w:w="15" w:type="dxa"/>
              <w:right w:w="15" w:type="dxa"/>
            </w:tcMar>
            <w:vAlign w:val="center"/>
            <w:hideMark/>
          </w:tcPr>
          <w:p w14:paraId="1A02FA4B" w14:textId="77777777" w:rsidR="000371F1" w:rsidRPr="00E118A3" w:rsidRDefault="000371F1" w:rsidP="0045793E">
            <w:pPr>
              <w:spacing w:after="0" w:line="240" w:lineRule="auto"/>
            </w:pPr>
            <w:r w:rsidRPr="00E118A3">
              <w:t>23</w:t>
            </w:r>
          </w:p>
        </w:tc>
        <w:tc>
          <w:tcPr>
            <w:tcW w:w="3689" w:type="pct"/>
            <w:tcMar>
              <w:top w:w="15" w:type="dxa"/>
              <w:left w:w="15" w:type="dxa"/>
              <w:bottom w:w="15" w:type="dxa"/>
              <w:right w:w="15" w:type="dxa"/>
            </w:tcMar>
            <w:vAlign w:val="center"/>
            <w:hideMark/>
          </w:tcPr>
          <w:p w14:paraId="7F48D899" w14:textId="77777777" w:rsidR="000371F1" w:rsidRPr="00E118A3" w:rsidRDefault="000371F1" w:rsidP="0045793E">
            <w:pPr>
              <w:spacing w:after="0" w:line="240" w:lineRule="auto"/>
            </w:pPr>
            <w:r w:rsidRPr="00E118A3">
              <w:t>((practice or treatment* or clinical) adj guideline*).ab.</w:t>
            </w:r>
          </w:p>
        </w:tc>
        <w:tc>
          <w:tcPr>
            <w:tcW w:w="877" w:type="pct"/>
            <w:tcMar>
              <w:top w:w="15" w:type="dxa"/>
              <w:left w:w="15" w:type="dxa"/>
              <w:bottom w:w="15" w:type="dxa"/>
              <w:right w:w="15" w:type="dxa"/>
            </w:tcMar>
            <w:vAlign w:val="center"/>
            <w:hideMark/>
          </w:tcPr>
          <w:p w14:paraId="28AA5F1E" w14:textId="77777777" w:rsidR="000371F1" w:rsidRPr="00E118A3" w:rsidRDefault="000371F1" w:rsidP="0045793E">
            <w:pPr>
              <w:spacing w:after="0" w:line="240" w:lineRule="auto"/>
            </w:pPr>
            <w:r w:rsidRPr="00E118A3">
              <w:t>60,786</w:t>
            </w:r>
          </w:p>
        </w:tc>
      </w:tr>
      <w:tr w:rsidR="000371F1" w:rsidRPr="00B0481D" w14:paraId="3F2E3827" w14:textId="77777777" w:rsidTr="0045793E">
        <w:tc>
          <w:tcPr>
            <w:tcW w:w="434" w:type="pct"/>
            <w:tcMar>
              <w:top w:w="15" w:type="dxa"/>
              <w:left w:w="15" w:type="dxa"/>
              <w:bottom w:w="15" w:type="dxa"/>
              <w:right w:w="15" w:type="dxa"/>
            </w:tcMar>
            <w:vAlign w:val="center"/>
            <w:hideMark/>
          </w:tcPr>
          <w:p w14:paraId="1845CC2A" w14:textId="77777777" w:rsidR="000371F1" w:rsidRPr="00E118A3" w:rsidRDefault="000371F1" w:rsidP="0045793E">
            <w:pPr>
              <w:spacing w:after="0" w:line="240" w:lineRule="auto"/>
            </w:pPr>
            <w:r w:rsidRPr="00E118A3">
              <w:t>24</w:t>
            </w:r>
          </w:p>
        </w:tc>
        <w:tc>
          <w:tcPr>
            <w:tcW w:w="3689" w:type="pct"/>
            <w:tcMar>
              <w:top w:w="15" w:type="dxa"/>
              <w:left w:w="15" w:type="dxa"/>
              <w:bottom w:w="15" w:type="dxa"/>
              <w:right w:w="15" w:type="dxa"/>
            </w:tcMar>
            <w:vAlign w:val="center"/>
            <w:hideMark/>
          </w:tcPr>
          <w:p w14:paraId="48B63243" w14:textId="77777777" w:rsidR="000371F1" w:rsidRPr="00E118A3" w:rsidRDefault="000371F1" w:rsidP="0045793E">
            <w:pPr>
              <w:spacing w:after="0" w:line="240" w:lineRule="auto"/>
            </w:pPr>
            <w:r w:rsidRPr="00E118A3">
              <w:t>(CPG or CPGs).ti.</w:t>
            </w:r>
          </w:p>
        </w:tc>
        <w:tc>
          <w:tcPr>
            <w:tcW w:w="877" w:type="pct"/>
            <w:tcMar>
              <w:top w:w="15" w:type="dxa"/>
              <w:left w:w="15" w:type="dxa"/>
              <w:bottom w:w="15" w:type="dxa"/>
              <w:right w:w="15" w:type="dxa"/>
            </w:tcMar>
            <w:vAlign w:val="center"/>
            <w:hideMark/>
          </w:tcPr>
          <w:p w14:paraId="10B3075D" w14:textId="77777777" w:rsidR="000371F1" w:rsidRPr="00E118A3" w:rsidRDefault="000371F1" w:rsidP="0045793E">
            <w:pPr>
              <w:spacing w:after="0" w:line="240" w:lineRule="auto"/>
            </w:pPr>
            <w:r w:rsidRPr="00E118A3">
              <w:t>6,734</w:t>
            </w:r>
          </w:p>
        </w:tc>
      </w:tr>
      <w:tr w:rsidR="000371F1" w:rsidRPr="00B0481D" w14:paraId="6676F4F9" w14:textId="77777777" w:rsidTr="0045793E">
        <w:tc>
          <w:tcPr>
            <w:tcW w:w="434" w:type="pct"/>
            <w:tcMar>
              <w:top w:w="15" w:type="dxa"/>
              <w:left w:w="15" w:type="dxa"/>
              <w:bottom w:w="15" w:type="dxa"/>
              <w:right w:w="15" w:type="dxa"/>
            </w:tcMar>
            <w:vAlign w:val="center"/>
            <w:hideMark/>
          </w:tcPr>
          <w:p w14:paraId="6B2D00F0" w14:textId="77777777" w:rsidR="000371F1" w:rsidRPr="00E118A3" w:rsidRDefault="000371F1" w:rsidP="0045793E">
            <w:pPr>
              <w:spacing w:after="0" w:line="240" w:lineRule="auto"/>
            </w:pPr>
            <w:r w:rsidRPr="00E118A3">
              <w:t>25</w:t>
            </w:r>
          </w:p>
        </w:tc>
        <w:tc>
          <w:tcPr>
            <w:tcW w:w="3689" w:type="pct"/>
            <w:tcMar>
              <w:top w:w="15" w:type="dxa"/>
              <w:left w:w="15" w:type="dxa"/>
              <w:bottom w:w="15" w:type="dxa"/>
              <w:right w:w="15" w:type="dxa"/>
            </w:tcMar>
            <w:vAlign w:val="center"/>
            <w:hideMark/>
          </w:tcPr>
          <w:p w14:paraId="3889F00C" w14:textId="77777777" w:rsidR="000371F1" w:rsidRPr="00E118A3" w:rsidRDefault="000371F1" w:rsidP="0045793E">
            <w:pPr>
              <w:spacing w:after="0" w:line="240" w:lineRule="auto"/>
            </w:pPr>
            <w:r w:rsidRPr="00E118A3">
              <w:t>consensus*.ti,kf,kw.</w:t>
            </w:r>
          </w:p>
        </w:tc>
        <w:tc>
          <w:tcPr>
            <w:tcW w:w="877" w:type="pct"/>
            <w:tcMar>
              <w:top w:w="15" w:type="dxa"/>
              <w:left w:w="15" w:type="dxa"/>
              <w:bottom w:w="15" w:type="dxa"/>
              <w:right w:w="15" w:type="dxa"/>
            </w:tcMar>
            <w:vAlign w:val="center"/>
            <w:hideMark/>
          </w:tcPr>
          <w:p w14:paraId="1ECAD5C0" w14:textId="77777777" w:rsidR="000371F1" w:rsidRPr="00E118A3" w:rsidRDefault="000371F1" w:rsidP="0045793E">
            <w:pPr>
              <w:spacing w:after="0" w:line="240" w:lineRule="auto"/>
            </w:pPr>
            <w:r w:rsidRPr="00E118A3">
              <w:t>40,184</w:t>
            </w:r>
          </w:p>
        </w:tc>
      </w:tr>
      <w:tr w:rsidR="000371F1" w:rsidRPr="00B0481D" w14:paraId="2BBBE486" w14:textId="77777777" w:rsidTr="0045793E">
        <w:tc>
          <w:tcPr>
            <w:tcW w:w="434" w:type="pct"/>
            <w:tcMar>
              <w:top w:w="15" w:type="dxa"/>
              <w:left w:w="15" w:type="dxa"/>
              <w:bottom w:w="15" w:type="dxa"/>
              <w:right w:w="15" w:type="dxa"/>
            </w:tcMar>
            <w:vAlign w:val="center"/>
            <w:hideMark/>
          </w:tcPr>
          <w:p w14:paraId="7CA0E692" w14:textId="77777777" w:rsidR="000371F1" w:rsidRPr="00E118A3" w:rsidRDefault="000371F1" w:rsidP="0045793E">
            <w:pPr>
              <w:spacing w:after="0" w:line="240" w:lineRule="auto"/>
            </w:pPr>
            <w:r w:rsidRPr="00E118A3">
              <w:t>26</w:t>
            </w:r>
          </w:p>
        </w:tc>
        <w:tc>
          <w:tcPr>
            <w:tcW w:w="3689" w:type="pct"/>
            <w:tcMar>
              <w:top w:w="15" w:type="dxa"/>
              <w:left w:w="15" w:type="dxa"/>
              <w:bottom w:w="15" w:type="dxa"/>
              <w:right w:w="15" w:type="dxa"/>
            </w:tcMar>
            <w:vAlign w:val="center"/>
            <w:hideMark/>
          </w:tcPr>
          <w:p w14:paraId="43BA6161" w14:textId="77777777" w:rsidR="000371F1" w:rsidRPr="00E118A3" w:rsidRDefault="000371F1" w:rsidP="0045793E">
            <w:pPr>
              <w:spacing w:after="0" w:line="240" w:lineRule="auto"/>
            </w:pPr>
            <w:r w:rsidRPr="00E118A3">
              <w:t>consensus*.ab. /freq=2</w:t>
            </w:r>
          </w:p>
        </w:tc>
        <w:tc>
          <w:tcPr>
            <w:tcW w:w="877" w:type="pct"/>
            <w:tcMar>
              <w:top w:w="15" w:type="dxa"/>
              <w:left w:w="15" w:type="dxa"/>
              <w:bottom w:w="15" w:type="dxa"/>
              <w:right w:w="15" w:type="dxa"/>
            </w:tcMar>
            <w:vAlign w:val="center"/>
            <w:hideMark/>
          </w:tcPr>
          <w:p w14:paraId="6036A745" w14:textId="77777777" w:rsidR="000371F1" w:rsidRPr="00E118A3" w:rsidRDefault="000371F1" w:rsidP="0045793E">
            <w:pPr>
              <w:spacing w:after="0" w:line="240" w:lineRule="auto"/>
            </w:pPr>
            <w:r w:rsidRPr="00E118A3">
              <w:t>39,879</w:t>
            </w:r>
          </w:p>
        </w:tc>
      </w:tr>
      <w:tr w:rsidR="000371F1" w:rsidRPr="00B0481D" w14:paraId="156DEE8B" w14:textId="77777777" w:rsidTr="0045793E">
        <w:tc>
          <w:tcPr>
            <w:tcW w:w="434" w:type="pct"/>
            <w:tcMar>
              <w:top w:w="15" w:type="dxa"/>
              <w:left w:w="15" w:type="dxa"/>
              <w:bottom w:w="15" w:type="dxa"/>
              <w:right w:w="15" w:type="dxa"/>
            </w:tcMar>
            <w:vAlign w:val="center"/>
            <w:hideMark/>
          </w:tcPr>
          <w:p w14:paraId="623AB614" w14:textId="77777777" w:rsidR="000371F1" w:rsidRPr="00E118A3" w:rsidRDefault="000371F1" w:rsidP="0045793E">
            <w:pPr>
              <w:spacing w:after="0" w:line="240" w:lineRule="auto"/>
            </w:pPr>
            <w:r w:rsidRPr="00E118A3">
              <w:t>27</w:t>
            </w:r>
          </w:p>
        </w:tc>
        <w:tc>
          <w:tcPr>
            <w:tcW w:w="3689" w:type="pct"/>
            <w:tcMar>
              <w:top w:w="15" w:type="dxa"/>
              <w:left w:w="15" w:type="dxa"/>
              <w:bottom w:w="15" w:type="dxa"/>
              <w:right w:w="15" w:type="dxa"/>
            </w:tcMar>
            <w:vAlign w:val="center"/>
            <w:hideMark/>
          </w:tcPr>
          <w:p w14:paraId="01680F76" w14:textId="77777777" w:rsidR="000371F1" w:rsidRPr="00E118A3" w:rsidRDefault="000371F1" w:rsidP="0045793E">
            <w:pPr>
              <w:spacing w:after="0" w:line="240" w:lineRule="auto"/>
            </w:pPr>
            <w:r w:rsidRPr="00E118A3">
              <w:t>((critical or clinical or practice) adj2 (path or paths or pathway or pathways or protocol*)).ti,ab,kf,kw.</w:t>
            </w:r>
          </w:p>
        </w:tc>
        <w:tc>
          <w:tcPr>
            <w:tcW w:w="877" w:type="pct"/>
            <w:tcMar>
              <w:top w:w="15" w:type="dxa"/>
              <w:left w:w="15" w:type="dxa"/>
              <w:bottom w:w="15" w:type="dxa"/>
              <w:right w:w="15" w:type="dxa"/>
            </w:tcMar>
            <w:vAlign w:val="center"/>
            <w:hideMark/>
          </w:tcPr>
          <w:p w14:paraId="1025CE74" w14:textId="77777777" w:rsidR="000371F1" w:rsidRPr="00E118A3" w:rsidRDefault="000371F1" w:rsidP="0045793E">
            <w:pPr>
              <w:spacing w:after="0" w:line="240" w:lineRule="auto"/>
            </w:pPr>
            <w:r w:rsidRPr="00E118A3">
              <w:t>30,682</w:t>
            </w:r>
          </w:p>
        </w:tc>
      </w:tr>
      <w:tr w:rsidR="000371F1" w:rsidRPr="00B0481D" w14:paraId="285FB346" w14:textId="77777777" w:rsidTr="0045793E">
        <w:tc>
          <w:tcPr>
            <w:tcW w:w="434" w:type="pct"/>
            <w:tcMar>
              <w:top w:w="15" w:type="dxa"/>
              <w:left w:w="15" w:type="dxa"/>
              <w:bottom w:w="15" w:type="dxa"/>
              <w:right w:w="15" w:type="dxa"/>
            </w:tcMar>
            <w:vAlign w:val="center"/>
            <w:hideMark/>
          </w:tcPr>
          <w:p w14:paraId="35650487" w14:textId="77777777" w:rsidR="000371F1" w:rsidRPr="00E118A3" w:rsidRDefault="000371F1" w:rsidP="0045793E">
            <w:pPr>
              <w:spacing w:after="0" w:line="240" w:lineRule="auto"/>
            </w:pPr>
            <w:r w:rsidRPr="00E118A3">
              <w:t>28</w:t>
            </w:r>
          </w:p>
        </w:tc>
        <w:tc>
          <w:tcPr>
            <w:tcW w:w="3689" w:type="pct"/>
            <w:tcMar>
              <w:top w:w="15" w:type="dxa"/>
              <w:left w:w="15" w:type="dxa"/>
              <w:bottom w:w="15" w:type="dxa"/>
              <w:right w:w="15" w:type="dxa"/>
            </w:tcMar>
            <w:vAlign w:val="center"/>
            <w:hideMark/>
          </w:tcPr>
          <w:p w14:paraId="7F6B8FCF" w14:textId="77777777" w:rsidR="000371F1" w:rsidRPr="00E118A3" w:rsidRDefault="000371F1" w:rsidP="0045793E">
            <w:pPr>
              <w:spacing w:after="0" w:line="240" w:lineRule="auto"/>
            </w:pPr>
            <w:r w:rsidRPr="00E118A3">
              <w:t>recommendat*.ti,kf,kw.</w:t>
            </w:r>
          </w:p>
        </w:tc>
        <w:tc>
          <w:tcPr>
            <w:tcW w:w="877" w:type="pct"/>
            <w:tcMar>
              <w:top w:w="15" w:type="dxa"/>
              <w:left w:w="15" w:type="dxa"/>
              <w:bottom w:w="15" w:type="dxa"/>
              <w:right w:w="15" w:type="dxa"/>
            </w:tcMar>
            <w:vAlign w:val="center"/>
            <w:hideMark/>
          </w:tcPr>
          <w:p w14:paraId="5C78FBC6" w14:textId="77777777" w:rsidR="000371F1" w:rsidRPr="00E118A3" w:rsidRDefault="000371F1" w:rsidP="0045793E">
            <w:pPr>
              <w:spacing w:after="0" w:line="240" w:lineRule="auto"/>
            </w:pPr>
            <w:r w:rsidRPr="00E118A3">
              <w:t>60,268</w:t>
            </w:r>
          </w:p>
        </w:tc>
      </w:tr>
      <w:tr w:rsidR="000371F1" w:rsidRPr="00B0481D" w14:paraId="06C43306" w14:textId="77777777" w:rsidTr="0045793E">
        <w:tc>
          <w:tcPr>
            <w:tcW w:w="434" w:type="pct"/>
            <w:tcMar>
              <w:top w:w="15" w:type="dxa"/>
              <w:left w:w="15" w:type="dxa"/>
              <w:bottom w:w="15" w:type="dxa"/>
              <w:right w:w="15" w:type="dxa"/>
            </w:tcMar>
            <w:vAlign w:val="center"/>
            <w:hideMark/>
          </w:tcPr>
          <w:p w14:paraId="7A6D3DD2" w14:textId="77777777" w:rsidR="000371F1" w:rsidRPr="00E118A3" w:rsidRDefault="000371F1" w:rsidP="0045793E">
            <w:pPr>
              <w:spacing w:after="0" w:line="240" w:lineRule="auto"/>
            </w:pPr>
            <w:r w:rsidRPr="00E118A3">
              <w:t>29</w:t>
            </w:r>
          </w:p>
        </w:tc>
        <w:tc>
          <w:tcPr>
            <w:tcW w:w="3689" w:type="pct"/>
            <w:tcMar>
              <w:top w:w="15" w:type="dxa"/>
              <w:left w:w="15" w:type="dxa"/>
              <w:bottom w:w="15" w:type="dxa"/>
              <w:right w:w="15" w:type="dxa"/>
            </w:tcMar>
            <w:vAlign w:val="center"/>
            <w:hideMark/>
          </w:tcPr>
          <w:p w14:paraId="4BE9A6BC" w14:textId="77777777" w:rsidR="000371F1" w:rsidRPr="00E118A3" w:rsidRDefault="000371F1" w:rsidP="0045793E">
            <w:pPr>
              <w:spacing w:after="0" w:line="240" w:lineRule="auto"/>
            </w:pPr>
            <w:r w:rsidRPr="00E118A3">
              <w:t>(care adj2 (standard or path or paths or pathway or pathways or map or maps or plan or plans)).ti,ab,kf,kw.</w:t>
            </w:r>
          </w:p>
        </w:tc>
        <w:tc>
          <w:tcPr>
            <w:tcW w:w="877" w:type="pct"/>
            <w:tcMar>
              <w:top w:w="15" w:type="dxa"/>
              <w:left w:w="15" w:type="dxa"/>
              <w:bottom w:w="15" w:type="dxa"/>
              <w:right w:w="15" w:type="dxa"/>
            </w:tcMar>
            <w:vAlign w:val="center"/>
            <w:hideMark/>
          </w:tcPr>
          <w:p w14:paraId="5DAE6777" w14:textId="77777777" w:rsidR="000371F1" w:rsidRPr="00E118A3" w:rsidRDefault="000371F1" w:rsidP="0045793E">
            <w:pPr>
              <w:spacing w:after="0" w:line="240" w:lineRule="auto"/>
            </w:pPr>
            <w:r w:rsidRPr="00E118A3">
              <w:t>98,612</w:t>
            </w:r>
          </w:p>
        </w:tc>
      </w:tr>
      <w:tr w:rsidR="000371F1" w:rsidRPr="00B0481D" w14:paraId="2762FB45" w14:textId="77777777" w:rsidTr="0045793E">
        <w:tc>
          <w:tcPr>
            <w:tcW w:w="434" w:type="pct"/>
            <w:tcMar>
              <w:top w:w="15" w:type="dxa"/>
              <w:left w:w="15" w:type="dxa"/>
              <w:bottom w:w="15" w:type="dxa"/>
              <w:right w:w="15" w:type="dxa"/>
            </w:tcMar>
            <w:vAlign w:val="center"/>
            <w:hideMark/>
          </w:tcPr>
          <w:p w14:paraId="2FE62B26" w14:textId="77777777" w:rsidR="000371F1" w:rsidRPr="00E118A3" w:rsidRDefault="000371F1" w:rsidP="0045793E">
            <w:pPr>
              <w:spacing w:after="0" w:line="240" w:lineRule="auto"/>
            </w:pPr>
            <w:r w:rsidRPr="00E118A3">
              <w:t>30</w:t>
            </w:r>
          </w:p>
        </w:tc>
        <w:tc>
          <w:tcPr>
            <w:tcW w:w="3689" w:type="pct"/>
            <w:tcMar>
              <w:top w:w="15" w:type="dxa"/>
              <w:left w:w="15" w:type="dxa"/>
              <w:bottom w:w="15" w:type="dxa"/>
              <w:right w:w="15" w:type="dxa"/>
            </w:tcMar>
            <w:vAlign w:val="center"/>
            <w:hideMark/>
          </w:tcPr>
          <w:p w14:paraId="2C120C99" w14:textId="77777777" w:rsidR="000371F1" w:rsidRPr="00E118A3" w:rsidRDefault="000371F1" w:rsidP="0045793E">
            <w:pPr>
              <w:spacing w:after="0" w:line="240" w:lineRule="auto"/>
            </w:pPr>
            <w:r w:rsidRPr="00E118A3">
              <w:t>(algorithm* adj2 (screening or examination or test or tested or testing or assessment* or diagnosis or diagnoses or diagnosed or diagnosing)).ti,ab,kf,kw.</w:t>
            </w:r>
          </w:p>
        </w:tc>
        <w:tc>
          <w:tcPr>
            <w:tcW w:w="877" w:type="pct"/>
            <w:tcMar>
              <w:top w:w="15" w:type="dxa"/>
              <w:left w:w="15" w:type="dxa"/>
              <w:bottom w:w="15" w:type="dxa"/>
              <w:right w:w="15" w:type="dxa"/>
            </w:tcMar>
            <w:vAlign w:val="center"/>
            <w:hideMark/>
          </w:tcPr>
          <w:p w14:paraId="4B7A2179" w14:textId="77777777" w:rsidR="000371F1" w:rsidRPr="00E118A3" w:rsidRDefault="000371F1" w:rsidP="0045793E">
            <w:pPr>
              <w:spacing w:after="0" w:line="240" w:lineRule="auto"/>
            </w:pPr>
            <w:r w:rsidRPr="00E118A3">
              <w:t>11,759</w:t>
            </w:r>
          </w:p>
        </w:tc>
      </w:tr>
      <w:tr w:rsidR="000371F1" w:rsidRPr="00B0481D" w14:paraId="1477446D" w14:textId="77777777" w:rsidTr="0045793E">
        <w:tc>
          <w:tcPr>
            <w:tcW w:w="434" w:type="pct"/>
            <w:tcMar>
              <w:top w:w="15" w:type="dxa"/>
              <w:left w:w="15" w:type="dxa"/>
              <w:bottom w:w="15" w:type="dxa"/>
              <w:right w:w="15" w:type="dxa"/>
            </w:tcMar>
            <w:vAlign w:val="center"/>
            <w:hideMark/>
          </w:tcPr>
          <w:p w14:paraId="1B4E5784" w14:textId="77777777" w:rsidR="000371F1" w:rsidRPr="00E118A3" w:rsidRDefault="000371F1" w:rsidP="0045793E">
            <w:pPr>
              <w:spacing w:after="0" w:line="240" w:lineRule="auto"/>
            </w:pPr>
            <w:r w:rsidRPr="00E118A3">
              <w:t>31</w:t>
            </w:r>
          </w:p>
        </w:tc>
        <w:tc>
          <w:tcPr>
            <w:tcW w:w="3689" w:type="pct"/>
            <w:tcMar>
              <w:top w:w="15" w:type="dxa"/>
              <w:left w:w="15" w:type="dxa"/>
              <w:bottom w:w="15" w:type="dxa"/>
              <w:right w:w="15" w:type="dxa"/>
            </w:tcMar>
            <w:vAlign w:val="center"/>
            <w:hideMark/>
          </w:tcPr>
          <w:p w14:paraId="27802770" w14:textId="77777777" w:rsidR="000371F1" w:rsidRPr="00E118A3" w:rsidRDefault="000371F1" w:rsidP="0045793E">
            <w:pPr>
              <w:spacing w:after="0" w:line="240" w:lineRule="auto"/>
            </w:pPr>
            <w:r w:rsidRPr="00E118A3">
              <w:t>(algorithm* adj2 (pharmacotherap* or chemotherap* or chemotreatment* or therap* or treatment* or intervention*)).ti,ab,kf,kw.</w:t>
            </w:r>
          </w:p>
        </w:tc>
        <w:tc>
          <w:tcPr>
            <w:tcW w:w="877" w:type="pct"/>
            <w:tcMar>
              <w:top w:w="15" w:type="dxa"/>
              <w:left w:w="15" w:type="dxa"/>
              <w:bottom w:w="15" w:type="dxa"/>
              <w:right w:w="15" w:type="dxa"/>
            </w:tcMar>
            <w:vAlign w:val="center"/>
            <w:hideMark/>
          </w:tcPr>
          <w:p w14:paraId="7A75CE46" w14:textId="77777777" w:rsidR="000371F1" w:rsidRPr="00E118A3" w:rsidRDefault="000371F1" w:rsidP="0045793E">
            <w:pPr>
              <w:spacing w:after="0" w:line="240" w:lineRule="auto"/>
            </w:pPr>
            <w:r w:rsidRPr="00E118A3">
              <w:t>14,522</w:t>
            </w:r>
          </w:p>
        </w:tc>
      </w:tr>
      <w:tr w:rsidR="000371F1" w:rsidRPr="00B0481D" w14:paraId="0C1AFC0E" w14:textId="77777777" w:rsidTr="0045793E">
        <w:tc>
          <w:tcPr>
            <w:tcW w:w="434" w:type="pct"/>
            <w:tcMar>
              <w:top w:w="15" w:type="dxa"/>
              <w:left w:w="15" w:type="dxa"/>
              <w:bottom w:w="15" w:type="dxa"/>
              <w:right w:w="15" w:type="dxa"/>
            </w:tcMar>
            <w:vAlign w:val="center"/>
            <w:hideMark/>
          </w:tcPr>
          <w:p w14:paraId="3E88B9C7" w14:textId="77777777" w:rsidR="000371F1" w:rsidRPr="00E118A3" w:rsidRDefault="000371F1" w:rsidP="0045793E">
            <w:pPr>
              <w:spacing w:after="0" w:line="240" w:lineRule="auto"/>
            </w:pPr>
            <w:r w:rsidRPr="00E118A3">
              <w:t>32</w:t>
            </w:r>
          </w:p>
        </w:tc>
        <w:tc>
          <w:tcPr>
            <w:tcW w:w="3689" w:type="pct"/>
            <w:tcMar>
              <w:top w:w="15" w:type="dxa"/>
              <w:left w:w="15" w:type="dxa"/>
              <w:bottom w:w="15" w:type="dxa"/>
              <w:right w:w="15" w:type="dxa"/>
            </w:tcMar>
            <w:vAlign w:val="center"/>
            <w:hideMark/>
          </w:tcPr>
          <w:p w14:paraId="1E4BD944" w14:textId="77777777" w:rsidR="000371F1" w:rsidRPr="00E118A3" w:rsidRDefault="000371F1" w:rsidP="0045793E">
            <w:pPr>
              <w:spacing w:after="0" w:line="240" w:lineRule="auto"/>
            </w:pPr>
            <w:r w:rsidRPr="00E118A3">
              <w:t>or/11-31</w:t>
            </w:r>
          </w:p>
        </w:tc>
        <w:tc>
          <w:tcPr>
            <w:tcW w:w="877" w:type="pct"/>
            <w:tcMar>
              <w:top w:w="15" w:type="dxa"/>
              <w:left w:w="15" w:type="dxa"/>
              <w:bottom w:w="15" w:type="dxa"/>
              <w:right w:w="15" w:type="dxa"/>
            </w:tcMar>
            <w:vAlign w:val="center"/>
            <w:hideMark/>
          </w:tcPr>
          <w:p w14:paraId="5EDAD49A" w14:textId="77777777" w:rsidR="000371F1" w:rsidRPr="00E118A3" w:rsidRDefault="000371F1" w:rsidP="0045793E">
            <w:pPr>
              <w:spacing w:after="0" w:line="240" w:lineRule="auto"/>
            </w:pPr>
            <w:r w:rsidRPr="00E118A3">
              <w:t>814,793</w:t>
            </w:r>
          </w:p>
        </w:tc>
      </w:tr>
      <w:tr w:rsidR="000371F1" w:rsidRPr="00B0481D" w14:paraId="5B4EEB59" w14:textId="77777777" w:rsidTr="0045793E">
        <w:tc>
          <w:tcPr>
            <w:tcW w:w="434" w:type="pct"/>
            <w:tcMar>
              <w:top w:w="15" w:type="dxa"/>
              <w:left w:w="15" w:type="dxa"/>
              <w:bottom w:w="15" w:type="dxa"/>
              <w:right w:w="15" w:type="dxa"/>
            </w:tcMar>
            <w:vAlign w:val="center"/>
            <w:hideMark/>
          </w:tcPr>
          <w:p w14:paraId="02444BFA" w14:textId="77777777" w:rsidR="000371F1" w:rsidRPr="00E118A3" w:rsidRDefault="000371F1" w:rsidP="0045793E">
            <w:pPr>
              <w:spacing w:after="0" w:line="240" w:lineRule="auto"/>
            </w:pPr>
            <w:r w:rsidRPr="00E118A3">
              <w:t>33</w:t>
            </w:r>
          </w:p>
        </w:tc>
        <w:tc>
          <w:tcPr>
            <w:tcW w:w="3689" w:type="pct"/>
            <w:tcMar>
              <w:top w:w="15" w:type="dxa"/>
              <w:left w:w="15" w:type="dxa"/>
              <w:bottom w:w="15" w:type="dxa"/>
              <w:right w:w="15" w:type="dxa"/>
            </w:tcMar>
            <w:vAlign w:val="center"/>
            <w:hideMark/>
          </w:tcPr>
          <w:p w14:paraId="112373B7" w14:textId="77777777" w:rsidR="000371F1" w:rsidRPr="00E118A3" w:rsidRDefault="000371F1" w:rsidP="0045793E">
            <w:pPr>
              <w:spacing w:after="0" w:line="240" w:lineRule="auto"/>
            </w:pPr>
            <w:r w:rsidRPr="00E118A3">
              <w:t>10 and 32</w:t>
            </w:r>
          </w:p>
        </w:tc>
        <w:tc>
          <w:tcPr>
            <w:tcW w:w="877" w:type="pct"/>
            <w:tcMar>
              <w:top w:w="15" w:type="dxa"/>
              <w:left w:w="15" w:type="dxa"/>
              <w:bottom w:w="15" w:type="dxa"/>
              <w:right w:w="15" w:type="dxa"/>
            </w:tcMar>
            <w:vAlign w:val="center"/>
            <w:hideMark/>
          </w:tcPr>
          <w:p w14:paraId="181AE84F" w14:textId="77777777" w:rsidR="000371F1" w:rsidRPr="00E118A3" w:rsidRDefault="000371F1" w:rsidP="0045793E">
            <w:pPr>
              <w:spacing w:after="0" w:line="240" w:lineRule="auto"/>
            </w:pPr>
            <w:r w:rsidRPr="00E118A3">
              <w:t>39</w:t>
            </w:r>
          </w:p>
        </w:tc>
      </w:tr>
    </w:tbl>
    <w:p w14:paraId="7DA7AE90" w14:textId="77777777" w:rsidR="000371F1" w:rsidRPr="00E118A3" w:rsidRDefault="000371F1" w:rsidP="000371F1">
      <w:pPr>
        <w:rPr>
          <w:lang w:val="en-US"/>
        </w:rPr>
      </w:pPr>
    </w:p>
    <w:p w14:paraId="24E0C678" w14:textId="77777777" w:rsidR="000371F1" w:rsidRPr="00E118A3" w:rsidRDefault="000371F1" w:rsidP="000371F1"/>
    <w:p w14:paraId="5E2AC2AF" w14:textId="77777777" w:rsidR="000371F1" w:rsidRPr="00E118A3" w:rsidRDefault="000371F1" w:rsidP="000371F1"/>
    <w:p w14:paraId="15B1E90E" w14:textId="7E55C030" w:rsidR="003114D0" w:rsidRPr="001636EF" w:rsidRDefault="003114D0" w:rsidP="000371F1"/>
    <w:sectPr w:rsidR="003114D0" w:rsidRPr="001636EF" w:rsidSect="001F1C68">
      <w:footerReference w:type="default" r:id="rId43"/>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830A" w14:textId="77777777" w:rsidR="00EE4A39" w:rsidRDefault="00EE4A39" w:rsidP="00B15943">
      <w:r>
        <w:separator/>
      </w:r>
    </w:p>
  </w:endnote>
  <w:endnote w:type="continuationSeparator" w:id="0">
    <w:p w14:paraId="7CC6372C" w14:textId="77777777" w:rsidR="00EE4A39" w:rsidRDefault="00EE4A39" w:rsidP="00B15943">
      <w:r>
        <w:continuationSeparator/>
      </w:r>
    </w:p>
  </w:endnote>
  <w:endnote w:type="continuationNotice" w:id="1">
    <w:p w14:paraId="2F2B4F3D" w14:textId="77777777" w:rsidR="00EE4A39" w:rsidRDefault="00EE4A39"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000000" w:rsidP="00B15943">
    <w:pPr>
      <w:pStyle w:val="Footer"/>
    </w:pPr>
    <w:sdt>
      <w:sdtPr>
        <w:id w:val="1488745784"/>
        <w:docPartObj>
          <w:docPartGallery w:val="Page Numbers (Bottom of Page)"/>
          <w:docPartUnique/>
        </w:docPartObj>
      </w:sdt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24DD" w14:textId="77777777" w:rsidR="00EE4A39" w:rsidRDefault="00EE4A39" w:rsidP="00B15943">
      <w:r>
        <w:separator/>
      </w:r>
    </w:p>
  </w:footnote>
  <w:footnote w:type="continuationSeparator" w:id="0">
    <w:p w14:paraId="4067F420" w14:textId="77777777" w:rsidR="00EE4A39" w:rsidRDefault="00EE4A39" w:rsidP="00B15943">
      <w:r>
        <w:continuationSeparator/>
      </w:r>
    </w:p>
  </w:footnote>
  <w:footnote w:type="continuationNotice" w:id="1">
    <w:p w14:paraId="6A07C013" w14:textId="77777777" w:rsidR="00EE4A39" w:rsidRDefault="00EE4A39"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153"/>
    <w:multiLevelType w:val="hybridMultilevel"/>
    <w:tmpl w:val="C6E002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773E58"/>
    <w:multiLevelType w:val="hybridMultilevel"/>
    <w:tmpl w:val="F1FE2E84"/>
    <w:lvl w:ilvl="0" w:tplc="D7C66476">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8DA3F9"/>
    <w:multiLevelType w:val="hybridMultilevel"/>
    <w:tmpl w:val="DE54EE80"/>
    <w:lvl w:ilvl="0" w:tplc="5BECF6EE">
      <w:start w:val="1"/>
      <w:numFmt w:val="decimal"/>
      <w:lvlText w:val="%1."/>
      <w:lvlJc w:val="left"/>
      <w:pPr>
        <w:ind w:left="720" w:hanging="360"/>
      </w:pPr>
    </w:lvl>
    <w:lvl w:ilvl="1" w:tplc="A3E4F580">
      <w:start w:val="1"/>
      <w:numFmt w:val="lowerLetter"/>
      <w:lvlText w:val="%2."/>
      <w:lvlJc w:val="left"/>
      <w:pPr>
        <w:ind w:left="1440" w:hanging="360"/>
      </w:pPr>
    </w:lvl>
    <w:lvl w:ilvl="2" w:tplc="D6B0DFE2">
      <w:start w:val="1"/>
      <w:numFmt w:val="lowerRoman"/>
      <w:lvlText w:val="%3."/>
      <w:lvlJc w:val="right"/>
      <w:pPr>
        <w:ind w:left="2160" w:hanging="180"/>
      </w:pPr>
    </w:lvl>
    <w:lvl w:ilvl="3" w:tplc="7BBAEDC2">
      <w:start w:val="1"/>
      <w:numFmt w:val="decimal"/>
      <w:lvlText w:val="%4."/>
      <w:lvlJc w:val="left"/>
      <w:pPr>
        <w:ind w:left="2880" w:hanging="360"/>
      </w:pPr>
    </w:lvl>
    <w:lvl w:ilvl="4" w:tplc="C5DAB354">
      <w:start w:val="1"/>
      <w:numFmt w:val="lowerLetter"/>
      <w:lvlText w:val="%5."/>
      <w:lvlJc w:val="left"/>
      <w:pPr>
        <w:ind w:left="3600" w:hanging="360"/>
      </w:pPr>
    </w:lvl>
    <w:lvl w:ilvl="5" w:tplc="29F86A6C">
      <w:start w:val="1"/>
      <w:numFmt w:val="lowerRoman"/>
      <w:lvlText w:val="%6."/>
      <w:lvlJc w:val="right"/>
      <w:pPr>
        <w:ind w:left="4320" w:hanging="180"/>
      </w:pPr>
    </w:lvl>
    <w:lvl w:ilvl="6" w:tplc="32122ABA">
      <w:start w:val="1"/>
      <w:numFmt w:val="decimal"/>
      <w:lvlText w:val="%7."/>
      <w:lvlJc w:val="left"/>
      <w:pPr>
        <w:ind w:left="5040" w:hanging="360"/>
      </w:pPr>
    </w:lvl>
    <w:lvl w:ilvl="7" w:tplc="83C46F9C">
      <w:start w:val="1"/>
      <w:numFmt w:val="lowerLetter"/>
      <w:lvlText w:val="%8."/>
      <w:lvlJc w:val="left"/>
      <w:pPr>
        <w:ind w:left="5760" w:hanging="360"/>
      </w:pPr>
    </w:lvl>
    <w:lvl w:ilvl="8" w:tplc="1FF418A8">
      <w:start w:val="1"/>
      <w:numFmt w:val="lowerRoman"/>
      <w:lvlText w:val="%9."/>
      <w:lvlJc w:val="right"/>
      <w:pPr>
        <w:ind w:left="6480" w:hanging="180"/>
      </w:pPr>
    </w:lvl>
  </w:abstractNum>
  <w:abstractNum w:abstractNumId="3" w15:restartNumberingAfterBreak="0">
    <w:nsid w:val="212A0BB7"/>
    <w:multiLevelType w:val="multilevel"/>
    <w:tmpl w:val="49D4B9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2ECEEEF"/>
    <w:multiLevelType w:val="hybridMultilevel"/>
    <w:tmpl w:val="5AA4C058"/>
    <w:lvl w:ilvl="0" w:tplc="82D0FBD6">
      <w:start w:val="1"/>
      <w:numFmt w:val="decimal"/>
      <w:lvlText w:val="%1."/>
      <w:lvlJc w:val="left"/>
      <w:pPr>
        <w:ind w:left="720" w:hanging="360"/>
      </w:pPr>
    </w:lvl>
    <w:lvl w:ilvl="1" w:tplc="D9566C86">
      <w:start w:val="1"/>
      <w:numFmt w:val="lowerLetter"/>
      <w:lvlText w:val="%2."/>
      <w:lvlJc w:val="left"/>
      <w:pPr>
        <w:ind w:left="1440" w:hanging="360"/>
      </w:pPr>
    </w:lvl>
    <w:lvl w:ilvl="2" w:tplc="D584C222">
      <w:start w:val="1"/>
      <w:numFmt w:val="lowerRoman"/>
      <w:lvlText w:val="%3."/>
      <w:lvlJc w:val="right"/>
      <w:pPr>
        <w:ind w:left="2160" w:hanging="180"/>
      </w:pPr>
    </w:lvl>
    <w:lvl w:ilvl="3" w:tplc="2C6ECDFC">
      <w:start w:val="1"/>
      <w:numFmt w:val="decimal"/>
      <w:lvlText w:val="%4."/>
      <w:lvlJc w:val="left"/>
      <w:pPr>
        <w:ind w:left="2880" w:hanging="360"/>
      </w:pPr>
    </w:lvl>
    <w:lvl w:ilvl="4" w:tplc="EC0E71F8">
      <w:start w:val="1"/>
      <w:numFmt w:val="lowerLetter"/>
      <w:lvlText w:val="%5."/>
      <w:lvlJc w:val="left"/>
      <w:pPr>
        <w:ind w:left="3600" w:hanging="360"/>
      </w:pPr>
    </w:lvl>
    <w:lvl w:ilvl="5" w:tplc="D37CF7DA">
      <w:start w:val="1"/>
      <w:numFmt w:val="lowerRoman"/>
      <w:lvlText w:val="%6."/>
      <w:lvlJc w:val="right"/>
      <w:pPr>
        <w:ind w:left="4320" w:hanging="180"/>
      </w:pPr>
    </w:lvl>
    <w:lvl w:ilvl="6" w:tplc="1AC2CAA0">
      <w:start w:val="1"/>
      <w:numFmt w:val="decimal"/>
      <w:lvlText w:val="%7."/>
      <w:lvlJc w:val="left"/>
      <w:pPr>
        <w:ind w:left="5040" w:hanging="360"/>
      </w:pPr>
    </w:lvl>
    <w:lvl w:ilvl="7" w:tplc="D0D078B8">
      <w:start w:val="1"/>
      <w:numFmt w:val="lowerLetter"/>
      <w:lvlText w:val="%8."/>
      <w:lvlJc w:val="left"/>
      <w:pPr>
        <w:ind w:left="5760" w:hanging="360"/>
      </w:pPr>
    </w:lvl>
    <w:lvl w:ilvl="8" w:tplc="ADC0298C">
      <w:start w:val="1"/>
      <w:numFmt w:val="lowerRoman"/>
      <w:lvlText w:val="%9."/>
      <w:lvlJc w:val="right"/>
      <w:pPr>
        <w:ind w:left="6480" w:hanging="180"/>
      </w:pPr>
    </w:lvl>
  </w:abstractNum>
  <w:abstractNum w:abstractNumId="5" w15:restartNumberingAfterBreak="0">
    <w:nsid w:val="5A6805BC"/>
    <w:multiLevelType w:val="hybridMultilevel"/>
    <w:tmpl w:val="DF2AEB4C"/>
    <w:lvl w:ilvl="0" w:tplc="67CA185A">
      <w:start w:val="1"/>
      <w:numFmt w:val="decimal"/>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27A3A35"/>
    <w:multiLevelType w:val="hybridMultilevel"/>
    <w:tmpl w:val="C9ECF7E2"/>
    <w:lvl w:ilvl="0" w:tplc="2D048230">
      <w:start w:val="1"/>
      <w:numFmt w:val="decimal"/>
      <w:lvlText w:val="%1."/>
      <w:lvlJc w:val="left"/>
      <w:pPr>
        <w:ind w:left="720" w:hanging="360"/>
      </w:pPr>
    </w:lvl>
    <w:lvl w:ilvl="1" w:tplc="F58A3BD6">
      <w:start w:val="1"/>
      <w:numFmt w:val="lowerLetter"/>
      <w:lvlText w:val="%2."/>
      <w:lvlJc w:val="left"/>
      <w:pPr>
        <w:ind w:left="1440" w:hanging="360"/>
      </w:pPr>
    </w:lvl>
    <w:lvl w:ilvl="2" w:tplc="0E262394">
      <w:start w:val="1"/>
      <w:numFmt w:val="lowerRoman"/>
      <w:lvlText w:val="%3."/>
      <w:lvlJc w:val="right"/>
      <w:pPr>
        <w:ind w:left="2160" w:hanging="180"/>
      </w:pPr>
    </w:lvl>
    <w:lvl w:ilvl="3" w:tplc="55C282D8">
      <w:start w:val="1"/>
      <w:numFmt w:val="decimal"/>
      <w:lvlText w:val="%4."/>
      <w:lvlJc w:val="left"/>
      <w:pPr>
        <w:ind w:left="2880" w:hanging="360"/>
      </w:pPr>
    </w:lvl>
    <w:lvl w:ilvl="4" w:tplc="0C1A94C8">
      <w:start w:val="1"/>
      <w:numFmt w:val="lowerLetter"/>
      <w:lvlText w:val="%5."/>
      <w:lvlJc w:val="left"/>
      <w:pPr>
        <w:ind w:left="3600" w:hanging="360"/>
      </w:pPr>
    </w:lvl>
    <w:lvl w:ilvl="5" w:tplc="67102936">
      <w:start w:val="1"/>
      <w:numFmt w:val="lowerRoman"/>
      <w:lvlText w:val="%6."/>
      <w:lvlJc w:val="right"/>
      <w:pPr>
        <w:ind w:left="4320" w:hanging="180"/>
      </w:pPr>
    </w:lvl>
    <w:lvl w:ilvl="6" w:tplc="41FCE546">
      <w:start w:val="1"/>
      <w:numFmt w:val="decimal"/>
      <w:lvlText w:val="%7."/>
      <w:lvlJc w:val="left"/>
      <w:pPr>
        <w:ind w:left="5040" w:hanging="360"/>
      </w:pPr>
    </w:lvl>
    <w:lvl w:ilvl="7" w:tplc="445E3346">
      <w:start w:val="1"/>
      <w:numFmt w:val="lowerLetter"/>
      <w:lvlText w:val="%8."/>
      <w:lvlJc w:val="left"/>
      <w:pPr>
        <w:ind w:left="5760" w:hanging="360"/>
      </w:pPr>
    </w:lvl>
    <w:lvl w:ilvl="8" w:tplc="5B94A444">
      <w:start w:val="1"/>
      <w:numFmt w:val="lowerRoman"/>
      <w:lvlText w:val="%9."/>
      <w:lvlJc w:val="right"/>
      <w:pPr>
        <w:ind w:left="6480" w:hanging="180"/>
      </w:pPr>
    </w:lvl>
  </w:abstractNum>
  <w:num w:numId="1" w16cid:durableId="62025231">
    <w:abstractNumId w:val="7"/>
  </w:num>
  <w:num w:numId="2" w16cid:durableId="761416334">
    <w:abstractNumId w:val="2"/>
  </w:num>
  <w:num w:numId="3" w16cid:durableId="626206089">
    <w:abstractNumId w:val="4"/>
  </w:num>
  <w:num w:numId="4" w16cid:durableId="1056049112">
    <w:abstractNumId w:val="6"/>
  </w:num>
  <w:num w:numId="5" w16cid:durableId="870728531">
    <w:abstractNumId w:val="1"/>
  </w:num>
  <w:num w:numId="6" w16cid:durableId="27292738">
    <w:abstractNumId w:val="0"/>
  </w:num>
  <w:num w:numId="7" w16cid:durableId="1570919146">
    <w:abstractNumId w:val="3"/>
  </w:num>
  <w:num w:numId="8" w16cid:durableId="53439034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2FCB"/>
    <w:rsid w:val="00003D54"/>
    <w:rsid w:val="0000692F"/>
    <w:rsid w:val="00007A8F"/>
    <w:rsid w:val="00013BB7"/>
    <w:rsid w:val="00017636"/>
    <w:rsid w:val="00021085"/>
    <w:rsid w:val="00023621"/>
    <w:rsid w:val="0002622F"/>
    <w:rsid w:val="00030406"/>
    <w:rsid w:val="00034FDB"/>
    <w:rsid w:val="000371F1"/>
    <w:rsid w:val="00037D2C"/>
    <w:rsid w:val="00041337"/>
    <w:rsid w:val="000417C9"/>
    <w:rsid w:val="00047689"/>
    <w:rsid w:val="00047A34"/>
    <w:rsid w:val="00052073"/>
    <w:rsid w:val="00052939"/>
    <w:rsid w:val="000542B6"/>
    <w:rsid w:val="00060708"/>
    <w:rsid w:val="000611B2"/>
    <w:rsid w:val="00061E20"/>
    <w:rsid w:val="00062D66"/>
    <w:rsid w:val="00062F6D"/>
    <w:rsid w:val="00064AF9"/>
    <w:rsid w:val="00072F9E"/>
    <w:rsid w:val="000730C4"/>
    <w:rsid w:val="00074646"/>
    <w:rsid w:val="00075F6A"/>
    <w:rsid w:val="0008022E"/>
    <w:rsid w:val="000815B1"/>
    <w:rsid w:val="000906B0"/>
    <w:rsid w:val="000919B2"/>
    <w:rsid w:val="000956B3"/>
    <w:rsid w:val="000968FC"/>
    <w:rsid w:val="0009702A"/>
    <w:rsid w:val="000A0BF8"/>
    <w:rsid w:val="000A3BC5"/>
    <w:rsid w:val="000A4002"/>
    <w:rsid w:val="000B27B0"/>
    <w:rsid w:val="000B2FFA"/>
    <w:rsid w:val="000B4E00"/>
    <w:rsid w:val="000C0458"/>
    <w:rsid w:val="000C0F6F"/>
    <w:rsid w:val="000C4F44"/>
    <w:rsid w:val="000C567B"/>
    <w:rsid w:val="000D4F30"/>
    <w:rsid w:val="000D7AE8"/>
    <w:rsid w:val="000D7DF1"/>
    <w:rsid w:val="000E2370"/>
    <w:rsid w:val="000E291C"/>
    <w:rsid w:val="000E417F"/>
    <w:rsid w:val="000E4770"/>
    <w:rsid w:val="000E56C2"/>
    <w:rsid w:val="000E7C63"/>
    <w:rsid w:val="000F4243"/>
    <w:rsid w:val="000F7ABB"/>
    <w:rsid w:val="00100396"/>
    <w:rsid w:val="00100E78"/>
    <w:rsid w:val="00100FDD"/>
    <w:rsid w:val="00103DB5"/>
    <w:rsid w:val="001041E8"/>
    <w:rsid w:val="00104EDF"/>
    <w:rsid w:val="001059AB"/>
    <w:rsid w:val="00106B6D"/>
    <w:rsid w:val="00110AF1"/>
    <w:rsid w:val="0011281B"/>
    <w:rsid w:val="00117651"/>
    <w:rsid w:val="00117902"/>
    <w:rsid w:val="001202B4"/>
    <w:rsid w:val="001225DC"/>
    <w:rsid w:val="001249A5"/>
    <w:rsid w:val="00135784"/>
    <w:rsid w:val="001357C4"/>
    <w:rsid w:val="0013581B"/>
    <w:rsid w:val="00135D72"/>
    <w:rsid w:val="001374D7"/>
    <w:rsid w:val="00145960"/>
    <w:rsid w:val="00145F4F"/>
    <w:rsid w:val="001475F8"/>
    <w:rsid w:val="00150B2C"/>
    <w:rsid w:val="00150F1B"/>
    <w:rsid w:val="00153714"/>
    <w:rsid w:val="00156B90"/>
    <w:rsid w:val="00157BDB"/>
    <w:rsid w:val="00160417"/>
    <w:rsid w:val="0016310D"/>
    <w:rsid w:val="001636EF"/>
    <w:rsid w:val="00165F1B"/>
    <w:rsid w:val="001662E1"/>
    <w:rsid w:val="001702E1"/>
    <w:rsid w:val="00173D05"/>
    <w:rsid w:val="0017549E"/>
    <w:rsid w:val="00176E10"/>
    <w:rsid w:val="00180A35"/>
    <w:rsid w:val="00183DA4"/>
    <w:rsid w:val="001904A1"/>
    <w:rsid w:val="00190AE1"/>
    <w:rsid w:val="00192631"/>
    <w:rsid w:val="00193233"/>
    <w:rsid w:val="00194111"/>
    <w:rsid w:val="00194995"/>
    <w:rsid w:val="001960A3"/>
    <w:rsid w:val="001962E7"/>
    <w:rsid w:val="001A058F"/>
    <w:rsid w:val="001A0D97"/>
    <w:rsid w:val="001A3223"/>
    <w:rsid w:val="001A4773"/>
    <w:rsid w:val="001A4E6F"/>
    <w:rsid w:val="001B3AB4"/>
    <w:rsid w:val="001B5B7B"/>
    <w:rsid w:val="001B6521"/>
    <w:rsid w:val="001C0BB7"/>
    <w:rsid w:val="001C1D0C"/>
    <w:rsid w:val="001C2F99"/>
    <w:rsid w:val="001C34AB"/>
    <w:rsid w:val="001C4A07"/>
    <w:rsid w:val="001D0AA3"/>
    <w:rsid w:val="001D0DAF"/>
    <w:rsid w:val="001D2301"/>
    <w:rsid w:val="001D4F89"/>
    <w:rsid w:val="001D5263"/>
    <w:rsid w:val="001D580C"/>
    <w:rsid w:val="001D5BC2"/>
    <w:rsid w:val="001D7769"/>
    <w:rsid w:val="001E15AF"/>
    <w:rsid w:val="001E4984"/>
    <w:rsid w:val="001F1C68"/>
    <w:rsid w:val="001F4F4F"/>
    <w:rsid w:val="00200ACB"/>
    <w:rsid w:val="002024C7"/>
    <w:rsid w:val="0020384B"/>
    <w:rsid w:val="0020513F"/>
    <w:rsid w:val="0020606A"/>
    <w:rsid w:val="0020687B"/>
    <w:rsid w:val="00207262"/>
    <w:rsid w:val="0020755E"/>
    <w:rsid w:val="00210E82"/>
    <w:rsid w:val="002155DF"/>
    <w:rsid w:val="002158A0"/>
    <w:rsid w:val="0021677C"/>
    <w:rsid w:val="002173C6"/>
    <w:rsid w:val="00221DE0"/>
    <w:rsid w:val="002240E9"/>
    <w:rsid w:val="0022452E"/>
    <w:rsid w:val="0022525B"/>
    <w:rsid w:val="002252B1"/>
    <w:rsid w:val="002404CF"/>
    <w:rsid w:val="00240CB6"/>
    <w:rsid w:val="00243FD2"/>
    <w:rsid w:val="00244A86"/>
    <w:rsid w:val="00246350"/>
    <w:rsid w:val="002544FA"/>
    <w:rsid w:val="00254AF2"/>
    <w:rsid w:val="0026000B"/>
    <w:rsid w:val="00260D8B"/>
    <w:rsid w:val="00262550"/>
    <w:rsid w:val="00262788"/>
    <w:rsid w:val="002639D4"/>
    <w:rsid w:val="00264EA2"/>
    <w:rsid w:val="00267304"/>
    <w:rsid w:val="00272C72"/>
    <w:rsid w:val="00273963"/>
    <w:rsid w:val="00274161"/>
    <w:rsid w:val="002766B9"/>
    <w:rsid w:val="002827C1"/>
    <w:rsid w:val="00282E5C"/>
    <w:rsid w:val="00291198"/>
    <w:rsid w:val="00296F89"/>
    <w:rsid w:val="00297312"/>
    <w:rsid w:val="002A0EF4"/>
    <w:rsid w:val="002A1CB6"/>
    <w:rsid w:val="002A70D7"/>
    <w:rsid w:val="002B4038"/>
    <w:rsid w:val="002C158C"/>
    <w:rsid w:val="002C1711"/>
    <w:rsid w:val="002C570D"/>
    <w:rsid w:val="002C702D"/>
    <w:rsid w:val="002D398F"/>
    <w:rsid w:val="002D5E8A"/>
    <w:rsid w:val="002E0181"/>
    <w:rsid w:val="002E3B80"/>
    <w:rsid w:val="002F3023"/>
    <w:rsid w:val="002F3BC4"/>
    <w:rsid w:val="00303551"/>
    <w:rsid w:val="003114D0"/>
    <w:rsid w:val="00316F43"/>
    <w:rsid w:val="0031759D"/>
    <w:rsid w:val="00320E23"/>
    <w:rsid w:val="00322B0F"/>
    <w:rsid w:val="0032439A"/>
    <w:rsid w:val="00324CBB"/>
    <w:rsid w:val="00325E5F"/>
    <w:rsid w:val="00331426"/>
    <w:rsid w:val="003328A3"/>
    <w:rsid w:val="003401A2"/>
    <w:rsid w:val="00340625"/>
    <w:rsid w:val="00342313"/>
    <w:rsid w:val="00342A14"/>
    <w:rsid w:val="00343881"/>
    <w:rsid w:val="00345C1F"/>
    <w:rsid w:val="00351EDD"/>
    <w:rsid w:val="00355E6D"/>
    <w:rsid w:val="00357675"/>
    <w:rsid w:val="00360776"/>
    <w:rsid w:val="00363868"/>
    <w:rsid w:val="00367B42"/>
    <w:rsid w:val="003718C0"/>
    <w:rsid w:val="00376D77"/>
    <w:rsid w:val="00380CE5"/>
    <w:rsid w:val="00381C7A"/>
    <w:rsid w:val="0038249B"/>
    <w:rsid w:val="00396E0F"/>
    <w:rsid w:val="00397FA1"/>
    <w:rsid w:val="003A13DB"/>
    <w:rsid w:val="003A1933"/>
    <w:rsid w:val="003A7462"/>
    <w:rsid w:val="003B1908"/>
    <w:rsid w:val="003B2FF3"/>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0A85"/>
    <w:rsid w:val="00402168"/>
    <w:rsid w:val="00403A71"/>
    <w:rsid w:val="00404415"/>
    <w:rsid w:val="00404874"/>
    <w:rsid w:val="00405A25"/>
    <w:rsid w:val="004061D0"/>
    <w:rsid w:val="00410628"/>
    <w:rsid w:val="00410F7A"/>
    <w:rsid w:val="00411397"/>
    <w:rsid w:val="00417851"/>
    <w:rsid w:val="0042443F"/>
    <w:rsid w:val="004248C0"/>
    <w:rsid w:val="004257A2"/>
    <w:rsid w:val="00426140"/>
    <w:rsid w:val="00427D44"/>
    <w:rsid w:val="0043105A"/>
    <w:rsid w:val="00432EC5"/>
    <w:rsid w:val="0043308D"/>
    <w:rsid w:val="00436F3E"/>
    <w:rsid w:val="00446523"/>
    <w:rsid w:val="004470EE"/>
    <w:rsid w:val="00451196"/>
    <w:rsid w:val="0045193E"/>
    <w:rsid w:val="00453F20"/>
    <w:rsid w:val="00454979"/>
    <w:rsid w:val="0045786A"/>
    <w:rsid w:val="0045793E"/>
    <w:rsid w:val="0046183B"/>
    <w:rsid w:val="004626C6"/>
    <w:rsid w:val="00464E24"/>
    <w:rsid w:val="00466065"/>
    <w:rsid w:val="004713BF"/>
    <w:rsid w:val="00471E19"/>
    <w:rsid w:val="00472E27"/>
    <w:rsid w:val="00473FBF"/>
    <w:rsid w:val="004751AB"/>
    <w:rsid w:val="00481EF6"/>
    <w:rsid w:val="00482AB2"/>
    <w:rsid w:val="00483F03"/>
    <w:rsid w:val="00485126"/>
    <w:rsid w:val="00485D11"/>
    <w:rsid w:val="00490475"/>
    <w:rsid w:val="004938F5"/>
    <w:rsid w:val="00494BC6"/>
    <w:rsid w:val="004951D9"/>
    <w:rsid w:val="00496B74"/>
    <w:rsid w:val="00497312"/>
    <w:rsid w:val="004A028F"/>
    <w:rsid w:val="004A0CDB"/>
    <w:rsid w:val="004A70FE"/>
    <w:rsid w:val="004B2AD7"/>
    <w:rsid w:val="004B3CA2"/>
    <w:rsid w:val="004B3D64"/>
    <w:rsid w:val="004B5F00"/>
    <w:rsid w:val="004B7694"/>
    <w:rsid w:val="004B7B0B"/>
    <w:rsid w:val="004C0353"/>
    <w:rsid w:val="004C04CB"/>
    <w:rsid w:val="004C0F68"/>
    <w:rsid w:val="004C0FD6"/>
    <w:rsid w:val="004C2A39"/>
    <w:rsid w:val="004C2DC4"/>
    <w:rsid w:val="004C4C89"/>
    <w:rsid w:val="004C5DC9"/>
    <w:rsid w:val="004C66F1"/>
    <w:rsid w:val="004D1229"/>
    <w:rsid w:val="004D37B3"/>
    <w:rsid w:val="004D39CC"/>
    <w:rsid w:val="004D6B73"/>
    <w:rsid w:val="004E15E8"/>
    <w:rsid w:val="004E3F2E"/>
    <w:rsid w:val="004E4096"/>
    <w:rsid w:val="004E668C"/>
    <w:rsid w:val="004E6ED2"/>
    <w:rsid w:val="004E7C92"/>
    <w:rsid w:val="004F0B68"/>
    <w:rsid w:val="004F181A"/>
    <w:rsid w:val="004F2BCE"/>
    <w:rsid w:val="004F2DB8"/>
    <w:rsid w:val="004F40A3"/>
    <w:rsid w:val="00503B38"/>
    <w:rsid w:val="005103DF"/>
    <w:rsid w:val="005128BE"/>
    <w:rsid w:val="005128D3"/>
    <w:rsid w:val="00513ECA"/>
    <w:rsid w:val="0051604C"/>
    <w:rsid w:val="00517EEB"/>
    <w:rsid w:val="00521111"/>
    <w:rsid w:val="00525AEF"/>
    <w:rsid w:val="0053064F"/>
    <w:rsid w:val="00530E53"/>
    <w:rsid w:val="00531ABB"/>
    <w:rsid w:val="0053428A"/>
    <w:rsid w:val="005374A1"/>
    <w:rsid w:val="0054214F"/>
    <w:rsid w:val="00542A87"/>
    <w:rsid w:val="00544114"/>
    <w:rsid w:val="00545D60"/>
    <w:rsid w:val="00547272"/>
    <w:rsid w:val="005524E9"/>
    <w:rsid w:val="00554057"/>
    <w:rsid w:val="00554C79"/>
    <w:rsid w:val="0055508C"/>
    <w:rsid w:val="005571A5"/>
    <w:rsid w:val="00557547"/>
    <w:rsid w:val="00557ED3"/>
    <w:rsid w:val="00564794"/>
    <w:rsid w:val="00564D92"/>
    <w:rsid w:val="00571792"/>
    <w:rsid w:val="005730D2"/>
    <w:rsid w:val="00573A0C"/>
    <w:rsid w:val="005748EB"/>
    <w:rsid w:val="00577375"/>
    <w:rsid w:val="00577C00"/>
    <w:rsid w:val="00582CD2"/>
    <w:rsid w:val="00586A66"/>
    <w:rsid w:val="00587134"/>
    <w:rsid w:val="00587496"/>
    <w:rsid w:val="005900D5"/>
    <w:rsid w:val="005924AA"/>
    <w:rsid w:val="00594BC4"/>
    <w:rsid w:val="00595823"/>
    <w:rsid w:val="005964B2"/>
    <w:rsid w:val="005A1524"/>
    <w:rsid w:val="005A3E12"/>
    <w:rsid w:val="005B3261"/>
    <w:rsid w:val="005B3442"/>
    <w:rsid w:val="005B4303"/>
    <w:rsid w:val="005B60A3"/>
    <w:rsid w:val="005B72E4"/>
    <w:rsid w:val="005C13E1"/>
    <w:rsid w:val="005C35C4"/>
    <w:rsid w:val="005C523B"/>
    <w:rsid w:val="005C67FF"/>
    <w:rsid w:val="005D4028"/>
    <w:rsid w:val="005D4569"/>
    <w:rsid w:val="005D5B6B"/>
    <w:rsid w:val="005E077C"/>
    <w:rsid w:val="005E13D7"/>
    <w:rsid w:val="005E2DE4"/>
    <w:rsid w:val="005E406A"/>
    <w:rsid w:val="005F5066"/>
    <w:rsid w:val="005F636F"/>
    <w:rsid w:val="005F6FDC"/>
    <w:rsid w:val="00600482"/>
    <w:rsid w:val="00602828"/>
    <w:rsid w:val="00602EAC"/>
    <w:rsid w:val="00605919"/>
    <w:rsid w:val="00606B87"/>
    <w:rsid w:val="00607698"/>
    <w:rsid w:val="00610246"/>
    <w:rsid w:val="00611333"/>
    <w:rsid w:val="0061150D"/>
    <w:rsid w:val="006124A6"/>
    <w:rsid w:val="00614497"/>
    <w:rsid w:val="00616FED"/>
    <w:rsid w:val="00617FA8"/>
    <w:rsid w:val="00621020"/>
    <w:rsid w:val="00621DA4"/>
    <w:rsid w:val="00630BA1"/>
    <w:rsid w:val="00631257"/>
    <w:rsid w:val="0063159E"/>
    <w:rsid w:val="00633132"/>
    <w:rsid w:val="006353C1"/>
    <w:rsid w:val="0063790A"/>
    <w:rsid w:val="006453A2"/>
    <w:rsid w:val="00646B3F"/>
    <w:rsid w:val="00647160"/>
    <w:rsid w:val="006533D5"/>
    <w:rsid w:val="00657D2C"/>
    <w:rsid w:val="00660B2D"/>
    <w:rsid w:val="006619C6"/>
    <w:rsid w:val="00662ACF"/>
    <w:rsid w:val="00665F36"/>
    <w:rsid w:val="00666514"/>
    <w:rsid w:val="00674DCA"/>
    <w:rsid w:val="0068048C"/>
    <w:rsid w:val="00680AC1"/>
    <w:rsid w:val="00681889"/>
    <w:rsid w:val="006845A7"/>
    <w:rsid w:val="0068660C"/>
    <w:rsid w:val="00687E42"/>
    <w:rsid w:val="0069417A"/>
    <w:rsid w:val="00694F4B"/>
    <w:rsid w:val="00696AD3"/>
    <w:rsid w:val="00697099"/>
    <w:rsid w:val="006A10C9"/>
    <w:rsid w:val="006A4DB4"/>
    <w:rsid w:val="006A4F43"/>
    <w:rsid w:val="006A681A"/>
    <w:rsid w:val="006A7330"/>
    <w:rsid w:val="006B12B1"/>
    <w:rsid w:val="006C2A59"/>
    <w:rsid w:val="006C6355"/>
    <w:rsid w:val="006C706A"/>
    <w:rsid w:val="006D3557"/>
    <w:rsid w:val="006D49BE"/>
    <w:rsid w:val="006E16BC"/>
    <w:rsid w:val="006E39C0"/>
    <w:rsid w:val="006E560C"/>
    <w:rsid w:val="006E5F9D"/>
    <w:rsid w:val="006E6579"/>
    <w:rsid w:val="006E6AFE"/>
    <w:rsid w:val="006E770F"/>
    <w:rsid w:val="006F0594"/>
    <w:rsid w:val="006F3877"/>
    <w:rsid w:val="006F39F1"/>
    <w:rsid w:val="0070085F"/>
    <w:rsid w:val="007010DC"/>
    <w:rsid w:val="007033B1"/>
    <w:rsid w:val="00705E7A"/>
    <w:rsid w:val="00706515"/>
    <w:rsid w:val="00707E2F"/>
    <w:rsid w:val="00712658"/>
    <w:rsid w:val="00714488"/>
    <w:rsid w:val="00714FA8"/>
    <w:rsid w:val="00717B20"/>
    <w:rsid w:val="00723CDC"/>
    <w:rsid w:val="007254E7"/>
    <w:rsid w:val="007261AC"/>
    <w:rsid w:val="00726691"/>
    <w:rsid w:val="00727C5B"/>
    <w:rsid w:val="00730917"/>
    <w:rsid w:val="00731710"/>
    <w:rsid w:val="007320D9"/>
    <w:rsid w:val="007332A7"/>
    <w:rsid w:val="00733EBA"/>
    <w:rsid w:val="00740D58"/>
    <w:rsid w:val="00743F4B"/>
    <w:rsid w:val="00744D45"/>
    <w:rsid w:val="00745160"/>
    <w:rsid w:val="00745956"/>
    <w:rsid w:val="0074718E"/>
    <w:rsid w:val="0074775C"/>
    <w:rsid w:val="00747AFA"/>
    <w:rsid w:val="0075106D"/>
    <w:rsid w:val="00752FAE"/>
    <w:rsid w:val="00753E21"/>
    <w:rsid w:val="00760C07"/>
    <w:rsid w:val="00761766"/>
    <w:rsid w:val="0076176A"/>
    <w:rsid w:val="00762D51"/>
    <w:rsid w:val="0076396F"/>
    <w:rsid w:val="007644BD"/>
    <w:rsid w:val="00767131"/>
    <w:rsid w:val="00767470"/>
    <w:rsid w:val="00767900"/>
    <w:rsid w:val="00767F94"/>
    <w:rsid w:val="007704C8"/>
    <w:rsid w:val="0077167E"/>
    <w:rsid w:val="0077417B"/>
    <w:rsid w:val="007769B5"/>
    <w:rsid w:val="00782201"/>
    <w:rsid w:val="00783323"/>
    <w:rsid w:val="00785D9C"/>
    <w:rsid w:val="007863DF"/>
    <w:rsid w:val="00787C09"/>
    <w:rsid w:val="00795327"/>
    <w:rsid w:val="007979BF"/>
    <w:rsid w:val="007A05A8"/>
    <w:rsid w:val="007A123B"/>
    <w:rsid w:val="007A2A51"/>
    <w:rsid w:val="007A2E13"/>
    <w:rsid w:val="007A5CDF"/>
    <w:rsid w:val="007A7178"/>
    <w:rsid w:val="007B3938"/>
    <w:rsid w:val="007C09FF"/>
    <w:rsid w:val="007C0F53"/>
    <w:rsid w:val="007C5DEF"/>
    <w:rsid w:val="007D7ACF"/>
    <w:rsid w:val="007E0178"/>
    <w:rsid w:val="007E03EA"/>
    <w:rsid w:val="007E16EE"/>
    <w:rsid w:val="007E4D6B"/>
    <w:rsid w:val="0080021F"/>
    <w:rsid w:val="00804116"/>
    <w:rsid w:val="00804363"/>
    <w:rsid w:val="00806325"/>
    <w:rsid w:val="008121AF"/>
    <w:rsid w:val="008121C3"/>
    <w:rsid w:val="00812372"/>
    <w:rsid w:val="0081271B"/>
    <w:rsid w:val="008133B5"/>
    <w:rsid w:val="00822348"/>
    <w:rsid w:val="00822F24"/>
    <w:rsid w:val="00822F50"/>
    <w:rsid w:val="00823026"/>
    <w:rsid w:val="00831C19"/>
    <w:rsid w:val="008334D9"/>
    <w:rsid w:val="00835B41"/>
    <w:rsid w:val="00836141"/>
    <w:rsid w:val="00837B89"/>
    <w:rsid w:val="00842994"/>
    <w:rsid w:val="00843F43"/>
    <w:rsid w:val="00843F56"/>
    <w:rsid w:val="00845158"/>
    <w:rsid w:val="008500C0"/>
    <w:rsid w:val="00850AC8"/>
    <w:rsid w:val="00855B15"/>
    <w:rsid w:val="00857F5D"/>
    <w:rsid w:val="008650E1"/>
    <w:rsid w:val="008711B9"/>
    <w:rsid w:val="0087156A"/>
    <w:rsid w:val="008719CE"/>
    <w:rsid w:val="008722BB"/>
    <w:rsid w:val="00874774"/>
    <w:rsid w:val="00876146"/>
    <w:rsid w:val="00876E48"/>
    <w:rsid w:val="00883261"/>
    <w:rsid w:val="008841C6"/>
    <w:rsid w:val="008841FA"/>
    <w:rsid w:val="008854E5"/>
    <w:rsid w:val="00885B59"/>
    <w:rsid w:val="00886BB2"/>
    <w:rsid w:val="008909BF"/>
    <w:rsid w:val="008919D1"/>
    <w:rsid w:val="00895F50"/>
    <w:rsid w:val="008A2970"/>
    <w:rsid w:val="008A39AA"/>
    <w:rsid w:val="008A6C2B"/>
    <w:rsid w:val="008B11E2"/>
    <w:rsid w:val="008B1DD1"/>
    <w:rsid w:val="008B3413"/>
    <w:rsid w:val="008B578C"/>
    <w:rsid w:val="008B6FC9"/>
    <w:rsid w:val="008C2164"/>
    <w:rsid w:val="008C30D7"/>
    <w:rsid w:val="008C4542"/>
    <w:rsid w:val="008C5333"/>
    <w:rsid w:val="008D32EB"/>
    <w:rsid w:val="008E1AF6"/>
    <w:rsid w:val="008E7C5E"/>
    <w:rsid w:val="008F2111"/>
    <w:rsid w:val="008F25C4"/>
    <w:rsid w:val="008F2DD1"/>
    <w:rsid w:val="0090185F"/>
    <w:rsid w:val="00904818"/>
    <w:rsid w:val="009065F8"/>
    <w:rsid w:val="00906908"/>
    <w:rsid w:val="00907A1E"/>
    <w:rsid w:val="00911617"/>
    <w:rsid w:val="00911FC4"/>
    <w:rsid w:val="009155A2"/>
    <w:rsid w:val="00920E97"/>
    <w:rsid w:val="00924174"/>
    <w:rsid w:val="00926170"/>
    <w:rsid w:val="00926453"/>
    <w:rsid w:val="009322F5"/>
    <w:rsid w:val="00932AEC"/>
    <w:rsid w:val="00937AF0"/>
    <w:rsid w:val="00937B53"/>
    <w:rsid w:val="00940F13"/>
    <w:rsid w:val="00942920"/>
    <w:rsid w:val="00943348"/>
    <w:rsid w:val="009433EC"/>
    <w:rsid w:val="00945084"/>
    <w:rsid w:val="009460BB"/>
    <w:rsid w:val="00950302"/>
    <w:rsid w:val="00951112"/>
    <w:rsid w:val="0095147E"/>
    <w:rsid w:val="0095593B"/>
    <w:rsid w:val="00956572"/>
    <w:rsid w:val="00957CE7"/>
    <w:rsid w:val="009628DA"/>
    <w:rsid w:val="0096598E"/>
    <w:rsid w:val="0096627F"/>
    <w:rsid w:val="009674BD"/>
    <w:rsid w:val="00970A75"/>
    <w:rsid w:val="0097143C"/>
    <w:rsid w:val="00975564"/>
    <w:rsid w:val="0098199F"/>
    <w:rsid w:val="0098667B"/>
    <w:rsid w:val="00987440"/>
    <w:rsid w:val="009900DE"/>
    <w:rsid w:val="0099169F"/>
    <w:rsid w:val="00992D19"/>
    <w:rsid w:val="00993E0D"/>
    <w:rsid w:val="0099492E"/>
    <w:rsid w:val="00996194"/>
    <w:rsid w:val="009A5CD8"/>
    <w:rsid w:val="009B0B7C"/>
    <w:rsid w:val="009B7F99"/>
    <w:rsid w:val="009C007A"/>
    <w:rsid w:val="009C3C80"/>
    <w:rsid w:val="009C3ECE"/>
    <w:rsid w:val="009C4AC5"/>
    <w:rsid w:val="009C6B0D"/>
    <w:rsid w:val="009C79DD"/>
    <w:rsid w:val="009D0234"/>
    <w:rsid w:val="009D6965"/>
    <w:rsid w:val="009E10EC"/>
    <w:rsid w:val="009E1277"/>
    <w:rsid w:val="009E1934"/>
    <w:rsid w:val="009E24C9"/>
    <w:rsid w:val="009E2C5B"/>
    <w:rsid w:val="009E72D2"/>
    <w:rsid w:val="009F0AFB"/>
    <w:rsid w:val="009F5963"/>
    <w:rsid w:val="009F70A2"/>
    <w:rsid w:val="00A0044F"/>
    <w:rsid w:val="00A0307C"/>
    <w:rsid w:val="00A039F5"/>
    <w:rsid w:val="00A05AF5"/>
    <w:rsid w:val="00A10892"/>
    <w:rsid w:val="00A10E11"/>
    <w:rsid w:val="00A11920"/>
    <w:rsid w:val="00A26312"/>
    <w:rsid w:val="00A26FF1"/>
    <w:rsid w:val="00A27B3E"/>
    <w:rsid w:val="00A30A0D"/>
    <w:rsid w:val="00A30D1B"/>
    <w:rsid w:val="00A33197"/>
    <w:rsid w:val="00A331DC"/>
    <w:rsid w:val="00A33C34"/>
    <w:rsid w:val="00A3461E"/>
    <w:rsid w:val="00A34D9E"/>
    <w:rsid w:val="00A37C29"/>
    <w:rsid w:val="00A46D49"/>
    <w:rsid w:val="00A5012C"/>
    <w:rsid w:val="00A5125A"/>
    <w:rsid w:val="00A527FC"/>
    <w:rsid w:val="00A52892"/>
    <w:rsid w:val="00A544DC"/>
    <w:rsid w:val="00A549D0"/>
    <w:rsid w:val="00A561CD"/>
    <w:rsid w:val="00A575C2"/>
    <w:rsid w:val="00A602A0"/>
    <w:rsid w:val="00A6153D"/>
    <w:rsid w:val="00A64995"/>
    <w:rsid w:val="00A67D2C"/>
    <w:rsid w:val="00A72871"/>
    <w:rsid w:val="00A73635"/>
    <w:rsid w:val="00A74272"/>
    <w:rsid w:val="00A80BED"/>
    <w:rsid w:val="00A8211A"/>
    <w:rsid w:val="00A86370"/>
    <w:rsid w:val="00A875C4"/>
    <w:rsid w:val="00A91CA4"/>
    <w:rsid w:val="00A926B4"/>
    <w:rsid w:val="00A942B2"/>
    <w:rsid w:val="00A94953"/>
    <w:rsid w:val="00A96762"/>
    <w:rsid w:val="00A96DEF"/>
    <w:rsid w:val="00AA0195"/>
    <w:rsid w:val="00AA4EF1"/>
    <w:rsid w:val="00AA55C2"/>
    <w:rsid w:val="00AA6CBF"/>
    <w:rsid w:val="00AAE35E"/>
    <w:rsid w:val="00AB5C5C"/>
    <w:rsid w:val="00AC2D21"/>
    <w:rsid w:val="00AC4FC8"/>
    <w:rsid w:val="00AC5453"/>
    <w:rsid w:val="00AC7AAE"/>
    <w:rsid w:val="00AD01E9"/>
    <w:rsid w:val="00AD0CBA"/>
    <w:rsid w:val="00AD6C84"/>
    <w:rsid w:val="00AE0894"/>
    <w:rsid w:val="00AE0B39"/>
    <w:rsid w:val="00AE0BF8"/>
    <w:rsid w:val="00AE1130"/>
    <w:rsid w:val="00AE3A95"/>
    <w:rsid w:val="00AE3D38"/>
    <w:rsid w:val="00AE637F"/>
    <w:rsid w:val="00AE7B08"/>
    <w:rsid w:val="00AF27CC"/>
    <w:rsid w:val="00AF35DF"/>
    <w:rsid w:val="00AF3B75"/>
    <w:rsid w:val="00AF471A"/>
    <w:rsid w:val="00AF661E"/>
    <w:rsid w:val="00AF6BB1"/>
    <w:rsid w:val="00AF7120"/>
    <w:rsid w:val="00B002A5"/>
    <w:rsid w:val="00B00CDB"/>
    <w:rsid w:val="00B02738"/>
    <w:rsid w:val="00B0548B"/>
    <w:rsid w:val="00B057F7"/>
    <w:rsid w:val="00B12D58"/>
    <w:rsid w:val="00B1581D"/>
    <w:rsid w:val="00B15943"/>
    <w:rsid w:val="00B21801"/>
    <w:rsid w:val="00B21B9C"/>
    <w:rsid w:val="00B27107"/>
    <w:rsid w:val="00B273BA"/>
    <w:rsid w:val="00B37DAA"/>
    <w:rsid w:val="00B37ED8"/>
    <w:rsid w:val="00B4162A"/>
    <w:rsid w:val="00B41EB4"/>
    <w:rsid w:val="00B44705"/>
    <w:rsid w:val="00B44BCC"/>
    <w:rsid w:val="00B47C7F"/>
    <w:rsid w:val="00B52F1B"/>
    <w:rsid w:val="00B54295"/>
    <w:rsid w:val="00B552FA"/>
    <w:rsid w:val="00B64BF5"/>
    <w:rsid w:val="00B673A6"/>
    <w:rsid w:val="00B706A9"/>
    <w:rsid w:val="00B80C12"/>
    <w:rsid w:val="00B81DE0"/>
    <w:rsid w:val="00B824CE"/>
    <w:rsid w:val="00B843C0"/>
    <w:rsid w:val="00B876E6"/>
    <w:rsid w:val="00B918B0"/>
    <w:rsid w:val="00B91AEB"/>
    <w:rsid w:val="00B92E75"/>
    <w:rsid w:val="00B93B66"/>
    <w:rsid w:val="00B961EC"/>
    <w:rsid w:val="00B9715C"/>
    <w:rsid w:val="00BA09B8"/>
    <w:rsid w:val="00BB2E75"/>
    <w:rsid w:val="00BB4C73"/>
    <w:rsid w:val="00BB5FD0"/>
    <w:rsid w:val="00BC046F"/>
    <w:rsid w:val="00BC6162"/>
    <w:rsid w:val="00BC74D9"/>
    <w:rsid w:val="00BD00C4"/>
    <w:rsid w:val="00BD0528"/>
    <w:rsid w:val="00BD0F79"/>
    <w:rsid w:val="00BD378C"/>
    <w:rsid w:val="00BE0471"/>
    <w:rsid w:val="00BE2ED8"/>
    <w:rsid w:val="00BE76F0"/>
    <w:rsid w:val="00BF04F3"/>
    <w:rsid w:val="00BF1733"/>
    <w:rsid w:val="00BF1B1A"/>
    <w:rsid w:val="00BF2FE8"/>
    <w:rsid w:val="00C0144C"/>
    <w:rsid w:val="00C07B85"/>
    <w:rsid w:val="00C154B3"/>
    <w:rsid w:val="00C15B2D"/>
    <w:rsid w:val="00C16FF1"/>
    <w:rsid w:val="00C22C1E"/>
    <w:rsid w:val="00C24602"/>
    <w:rsid w:val="00C310C8"/>
    <w:rsid w:val="00C312FA"/>
    <w:rsid w:val="00C32B2A"/>
    <w:rsid w:val="00C33A80"/>
    <w:rsid w:val="00C33D10"/>
    <w:rsid w:val="00C33D89"/>
    <w:rsid w:val="00C364DE"/>
    <w:rsid w:val="00C40E67"/>
    <w:rsid w:val="00C440B5"/>
    <w:rsid w:val="00C44174"/>
    <w:rsid w:val="00C444E4"/>
    <w:rsid w:val="00C45678"/>
    <w:rsid w:val="00C45A98"/>
    <w:rsid w:val="00C469C6"/>
    <w:rsid w:val="00C47C71"/>
    <w:rsid w:val="00C47F9F"/>
    <w:rsid w:val="00C5045B"/>
    <w:rsid w:val="00C528BE"/>
    <w:rsid w:val="00C54884"/>
    <w:rsid w:val="00C54B80"/>
    <w:rsid w:val="00C55E99"/>
    <w:rsid w:val="00C55F3E"/>
    <w:rsid w:val="00C56DD5"/>
    <w:rsid w:val="00C61984"/>
    <w:rsid w:val="00C61AFA"/>
    <w:rsid w:val="00C626D2"/>
    <w:rsid w:val="00C63B16"/>
    <w:rsid w:val="00C70AEB"/>
    <w:rsid w:val="00C745D4"/>
    <w:rsid w:val="00C746E3"/>
    <w:rsid w:val="00C753A3"/>
    <w:rsid w:val="00C80E34"/>
    <w:rsid w:val="00C81809"/>
    <w:rsid w:val="00C8216A"/>
    <w:rsid w:val="00C822EF"/>
    <w:rsid w:val="00C82DAC"/>
    <w:rsid w:val="00C83312"/>
    <w:rsid w:val="00C85BDC"/>
    <w:rsid w:val="00C87DD9"/>
    <w:rsid w:val="00C935CB"/>
    <w:rsid w:val="00C951A3"/>
    <w:rsid w:val="00C9667A"/>
    <w:rsid w:val="00CA1AF7"/>
    <w:rsid w:val="00CA60C8"/>
    <w:rsid w:val="00CA691F"/>
    <w:rsid w:val="00CA7A26"/>
    <w:rsid w:val="00CB16A5"/>
    <w:rsid w:val="00CB1F43"/>
    <w:rsid w:val="00CB3895"/>
    <w:rsid w:val="00CB4474"/>
    <w:rsid w:val="00CB4D12"/>
    <w:rsid w:val="00CB7C02"/>
    <w:rsid w:val="00CC2573"/>
    <w:rsid w:val="00CC61AD"/>
    <w:rsid w:val="00CD2184"/>
    <w:rsid w:val="00CD35DD"/>
    <w:rsid w:val="00CE1555"/>
    <w:rsid w:val="00CE1907"/>
    <w:rsid w:val="00CE3C9B"/>
    <w:rsid w:val="00CE57E9"/>
    <w:rsid w:val="00CE6220"/>
    <w:rsid w:val="00CF0A81"/>
    <w:rsid w:val="00CF1EB2"/>
    <w:rsid w:val="00CF2CAA"/>
    <w:rsid w:val="00CF529F"/>
    <w:rsid w:val="00CF7710"/>
    <w:rsid w:val="00D00F12"/>
    <w:rsid w:val="00D0297C"/>
    <w:rsid w:val="00D0363E"/>
    <w:rsid w:val="00D03719"/>
    <w:rsid w:val="00D059B8"/>
    <w:rsid w:val="00D121B8"/>
    <w:rsid w:val="00D12A42"/>
    <w:rsid w:val="00D12F20"/>
    <w:rsid w:val="00D14CD5"/>
    <w:rsid w:val="00D16EEA"/>
    <w:rsid w:val="00D17924"/>
    <w:rsid w:val="00D21C4C"/>
    <w:rsid w:val="00D220AF"/>
    <w:rsid w:val="00D232E4"/>
    <w:rsid w:val="00D24A5B"/>
    <w:rsid w:val="00D25502"/>
    <w:rsid w:val="00D26394"/>
    <w:rsid w:val="00D27B40"/>
    <w:rsid w:val="00D30B4A"/>
    <w:rsid w:val="00D3332C"/>
    <w:rsid w:val="00D35326"/>
    <w:rsid w:val="00D37F50"/>
    <w:rsid w:val="00D465D7"/>
    <w:rsid w:val="00D52303"/>
    <w:rsid w:val="00D52C0F"/>
    <w:rsid w:val="00D52FF0"/>
    <w:rsid w:val="00D53574"/>
    <w:rsid w:val="00D53653"/>
    <w:rsid w:val="00D54089"/>
    <w:rsid w:val="00D55F3F"/>
    <w:rsid w:val="00D630A6"/>
    <w:rsid w:val="00D637A9"/>
    <w:rsid w:val="00D71B62"/>
    <w:rsid w:val="00D7258D"/>
    <w:rsid w:val="00D848E6"/>
    <w:rsid w:val="00D8781F"/>
    <w:rsid w:val="00D96514"/>
    <w:rsid w:val="00D966C0"/>
    <w:rsid w:val="00D969F0"/>
    <w:rsid w:val="00D96A6B"/>
    <w:rsid w:val="00D97F08"/>
    <w:rsid w:val="00DA2813"/>
    <w:rsid w:val="00DA3FA4"/>
    <w:rsid w:val="00DA41F1"/>
    <w:rsid w:val="00DA5B75"/>
    <w:rsid w:val="00DB1DD6"/>
    <w:rsid w:val="00DB210D"/>
    <w:rsid w:val="00DB4D0F"/>
    <w:rsid w:val="00DB5DE3"/>
    <w:rsid w:val="00DB624D"/>
    <w:rsid w:val="00DC1ECA"/>
    <w:rsid w:val="00DC6CD7"/>
    <w:rsid w:val="00DD0321"/>
    <w:rsid w:val="00DD22CE"/>
    <w:rsid w:val="00DD392B"/>
    <w:rsid w:val="00DD4625"/>
    <w:rsid w:val="00DD63C2"/>
    <w:rsid w:val="00DE3B13"/>
    <w:rsid w:val="00DE43A4"/>
    <w:rsid w:val="00DE6762"/>
    <w:rsid w:val="00DF20EC"/>
    <w:rsid w:val="00DF39A7"/>
    <w:rsid w:val="00E02A20"/>
    <w:rsid w:val="00E0304D"/>
    <w:rsid w:val="00E031C7"/>
    <w:rsid w:val="00E042DE"/>
    <w:rsid w:val="00E0785A"/>
    <w:rsid w:val="00E100F4"/>
    <w:rsid w:val="00E129EF"/>
    <w:rsid w:val="00E13846"/>
    <w:rsid w:val="00E142C5"/>
    <w:rsid w:val="00E14DBD"/>
    <w:rsid w:val="00E15108"/>
    <w:rsid w:val="00E1599E"/>
    <w:rsid w:val="00E1680D"/>
    <w:rsid w:val="00E20C1B"/>
    <w:rsid w:val="00E25A35"/>
    <w:rsid w:val="00E27008"/>
    <w:rsid w:val="00E341A6"/>
    <w:rsid w:val="00E344E1"/>
    <w:rsid w:val="00E345E4"/>
    <w:rsid w:val="00E36873"/>
    <w:rsid w:val="00E42A37"/>
    <w:rsid w:val="00E45047"/>
    <w:rsid w:val="00E63B75"/>
    <w:rsid w:val="00E70AA2"/>
    <w:rsid w:val="00E710CB"/>
    <w:rsid w:val="00E7550C"/>
    <w:rsid w:val="00E75CCF"/>
    <w:rsid w:val="00E76CD5"/>
    <w:rsid w:val="00E808D5"/>
    <w:rsid w:val="00E8107A"/>
    <w:rsid w:val="00E815E7"/>
    <w:rsid w:val="00E83766"/>
    <w:rsid w:val="00E841AF"/>
    <w:rsid w:val="00E93764"/>
    <w:rsid w:val="00E95C60"/>
    <w:rsid w:val="00E96631"/>
    <w:rsid w:val="00EA2D15"/>
    <w:rsid w:val="00EA4068"/>
    <w:rsid w:val="00EA4934"/>
    <w:rsid w:val="00EB159C"/>
    <w:rsid w:val="00EB239A"/>
    <w:rsid w:val="00EB2B91"/>
    <w:rsid w:val="00EB3D0A"/>
    <w:rsid w:val="00EB5226"/>
    <w:rsid w:val="00EB620C"/>
    <w:rsid w:val="00EB67CE"/>
    <w:rsid w:val="00EC157C"/>
    <w:rsid w:val="00EC4866"/>
    <w:rsid w:val="00EC4C4B"/>
    <w:rsid w:val="00EC5B2F"/>
    <w:rsid w:val="00ED1723"/>
    <w:rsid w:val="00ED4CC5"/>
    <w:rsid w:val="00ED7C7F"/>
    <w:rsid w:val="00EE2373"/>
    <w:rsid w:val="00EE2957"/>
    <w:rsid w:val="00EE4A39"/>
    <w:rsid w:val="00EE715C"/>
    <w:rsid w:val="00EE7C8B"/>
    <w:rsid w:val="00EF1B80"/>
    <w:rsid w:val="00EF3742"/>
    <w:rsid w:val="00EF6783"/>
    <w:rsid w:val="00F020C4"/>
    <w:rsid w:val="00F045E8"/>
    <w:rsid w:val="00F0513C"/>
    <w:rsid w:val="00F06446"/>
    <w:rsid w:val="00F07C2A"/>
    <w:rsid w:val="00F12C39"/>
    <w:rsid w:val="00F13AAF"/>
    <w:rsid w:val="00F21991"/>
    <w:rsid w:val="00F22B75"/>
    <w:rsid w:val="00F26B73"/>
    <w:rsid w:val="00F30300"/>
    <w:rsid w:val="00F36061"/>
    <w:rsid w:val="00F36742"/>
    <w:rsid w:val="00F37C7F"/>
    <w:rsid w:val="00F40E22"/>
    <w:rsid w:val="00F44D3C"/>
    <w:rsid w:val="00F45684"/>
    <w:rsid w:val="00F50E47"/>
    <w:rsid w:val="00F52AC1"/>
    <w:rsid w:val="00F53D07"/>
    <w:rsid w:val="00F5425C"/>
    <w:rsid w:val="00F555A3"/>
    <w:rsid w:val="00F56A88"/>
    <w:rsid w:val="00F57166"/>
    <w:rsid w:val="00F604C8"/>
    <w:rsid w:val="00F61BC1"/>
    <w:rsid w:val="00F61FAA"/>
    <w:rsid w:val="00F63746"/>
    <w:rsid w:val="00F64CA8"/>
    <w:rsid w:val="00F64D86"/>
    <w:rsid w:val="00F72009"/>
    <w:rsid w:val="00F77843"/>
    <w:rsid w:val="00F861D6"/>
    <w:rsid w:val="00F87F89"/>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B5851"/>
    <w:rsid w:val="00FB5B2E"/>
    <w:rsid w:val="00FC1D54"/>
    <w:rsid w:val="00FC2C4C"/>
    <w:rsid w:val="00FD024E"/>
    <w:rsid w:val="00FD0428"/>
    <w:rsid w:val="00FD1FA6"/>
    <w:rsid w:val="00FD2A7F"/>
    <w:rsid w:val="00FD36B2"/>
    <w:rsid w:val="00FD467A"/>
    <w:rsid w:val="00FD60BD"/>
    <w:rsid w:val="00FE41FD"/>
    <w:rsid w:val="00FE7F2D"/>
    <w:rsid w:val="00FF00A4"/>
    <w:rsid w:val="01439F9A"/>
    <w:rsid w:val="0227ECDC"/>
    <w:rsid w:val="0315685C"/>
    <w:rsid w:val="06099ECB"/>
    <w:rsid w:val="07811922"/>
    <w:rsid w:val="0786A820"/>
    <w:rsid w:val="079CC688"/>
    <w:rsid w:val="080F4645"/>
    <w:rsid w:val="083BF354"/>
    <w:rsid w:val="0D313604"/>
    <w:rsid w:val="0D5D639A"/>
    <w:rsid w:val="0E839B2C"/>
    <w:rsid w:val="0F397274"/>
    <w:rsid w:val="0FCFF14D"/>
    <w:rsid w:val="113675BC"/>
    <w:rsid w:val="12412013"/>
    <w:rsid w:val="127ADE95"/>
    <w:rsid w:val="140AB021"/>
    <w:rsid w:val="1441CE8E"/>
    <w:rsid w:val="14AF75EF"/>
    <w:rsid w:val="152C930B"/>
    <w:rsid w:val="15EBFC28"/>
    <w:rsid w:val="16126175"/>
    <w:rsid w:val="162B0E7E"/>
    <w:rsid w:val="17CDCEDD"/>
    <w:rsid w:val="18232734"/>
    <w:rsid w:val="18923FDF"/>
    <w:rsid w:val="189310E8"/>
    <w:rsid w:val="1A01C3E2"/>
    <w:rsid w:val="1A0E835A"/>
    <w:rsid w:val="1A8DAE97"/>
    <w:rsid w:val="1B008657"/>
    <w:rsid w:val="1C4EC75B"/>
    <w:rsid w:val="1C987327"/>
    <w:rsid w:val="1CAE5816"/>
    <w:rsid w:val="1D835158"/>
    <w:rsid w:val="1DB7314C"/>
    <w:rsid w:val="1E994921"/>
    <w:rsid w:val="1F271CCC"/>
    <w:rsid w:val="21D80449"/>
    <w:rsid w:val="2397C123"/>
    <w:rsid w:val="23CF60C2"/>
    <w:rsid w:val="241B2C2E"/>
    <w:rsid w:val="252D8011"/>
    <w:rsid w:val="25C9178C"/>
    <w:rsid w:val="25CFE946"/>
    <w:rsid w:val="26C486CD"/>
    <w:rsid w:val="27E0EBB0"/>
    <w:rsid w:val="296591C5"/>
    <w:rsid w:val="2AADEB7D"/>
    <w:rsid w:val="2AB0DABA"/>
    <w:rsid w:val="2C3395D3"/>
    <w:rsid w:val="2CB88E0A"/>
    <w:rsid w:val="2D13B4B2"/>
    <w:rsid w:val="2D986831"/>
    <w:rsid w:val="2DA4EF72"/>
    <w:rsid w:val="2E53D5B8"/>
    <w:rsid w:val="2F95A920"/>
    <w:rsid w:val="3026CA6D"/>
    <w:rsid w:val="3104D373"/>
    <w:rsid w:val="3143CCF0"/>
    <w:rsid w:val="31B7D849"/>
    <w:rsid w:val="32A2DBB8"/>
    <w:rsid w:val="337AD895"/>
    <w:rsid w:val="34F2F194"/>
    <w:rsid w:val="36643B27"/>
    <w:rsid w:val="37CF7BD3"/>
    <w:rsid w:val="38384EB2"/>
    <w:rsid w:val="39413179"/>
    <w:rsid w:val="39C19FEF"/>
    <w:rsid w:val="3A7A10A3"/>
    <w:rsid w:val="3A7C3636"/>
    <w:rsid w:val="3B2D7338"/>
    <w:rsid w:val="3CA45C54"/>
    <w:rsid w:val="3F3C2E4D"/>
    <w:rsid w:val="3FC3ED89"/>
    <w:rsid w:val="40C2ECFF"/>
    <w:rsid w:val="412D2E58"/>
    <w:rsid w:val="414F8323"/>
    <w:rsid w:val="41E41C2E"/>
    <w:rsid w:val="455E82AE"/>
    <w:rsid w:val="4612C4E9"/>
    <w:rsid w:val="4654E239"/>
    <w:rsid w:val="46745669"/>
    <w:rsid w:val="47055AB2"/>
    <w:rsid w:val="480DDEBC"/>
    <w:rsid w:val="48C7D480"/>
    <w:rsid w:val="4941827F"/>
    <w:rsid w:val="49DF8E4C"/>
    <w:rsid w:val="4A11C31A"/>
    <w:rsid w:val="4B353A1E"/>
    <w:rsid w:val="4C3C3E11"/>
    <w:rsid w:val="4E818059"/>
    <w:rsid w:val="4ED16937"/>
    <w:rsid w:val="4FCB1968"/>
    <w:rsid w:val="5122279C"/>
    <w:rsid w:val="5199E334"/>
    <w:rsid w:val="52EA4BEF"/>
    <w:rsid w:val="531D0806"/>
    <w:rsid w:val="5496E70F"/>
    <w:rsid w:val="5587AE0F"/>
    <w:rsid w:val="56FA3537"/>
    <w:rsid w:val="574B1EF2"/>
    <w:rsid w:val="59C906E9"/>
    <w:rsid w:val="5A35BA2C"/>
    <w:rsid w:val="5B278E5F"/>
    <w:rsid w:val="5CB9CE2C"/>
    <w:rsid w:val="5D8D3592"/>
    <w:rsid w:val="5E5A57EF"/>
    <w:rsid w:val="5F3180EA"/>
    <w:rsid w:val="5FB719E0"/>
    <w:rsid w:val="5FDA0DAB"/>
    <w:rsid w:val="5FE44562"/>
    <w:rsid w:val="6099526C"/>
    <w:rsid w:val="60B443F7"/>
    <w:rsid w:val="61AA1846"/>
    <w:rsid w:val="648A3A07"/>
    <w:rsid w:val="67A76305"/>
    <w:rsid w:val="67F2DEF9"/>
    <w:rsid w:val="67F7CBA0"/>
    <w:rsid w:val="68D72B3D"/>
    <w:rsid w:val="691A30F4"/>
    <w:rsid w:val="69640E84"/>
    <w:rsid w:val="696B7551"/>
    <w:rsid w:val="6D1E4C18"/>
    <w:rsid w:val="6E68A6C9"/>
    <w:rsid w:val="7035B2C0"/>
    <w:rsid w:val="713066F5"/>
    <w:rsid w:val="755428F1"/>
    <w:rsid w:val="7631EA33"/>
    <w:rsid w:val="76C79E2D"/>
    <w:rsid w:val="78A9AE78"/>
    <w:rsid w:val="792273DB"/>
    <w:rsid w:val="7942F080"/>
    <w:rsid w:val="7A68C063"/>
    <w:rsid w:val="7B318061"/>
    <w:rsid w:val="7B553D66"/>
    <w:rsid w:val="7B599F64"/>
    <w:rsid w:val="7CD3F3D0"/>
    <w:rsid w:val="7D6B33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744B8A9E-E166-418D-9968-58BF2B50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767131"/>
    <w:pPr>
      <w:numPr>
        <w:ilvl w:val="0"/>
      </w:numPr>
      <w:spacing w:before="240" w:after="240" w:line="240" w:lineRule="auto"/>
      <w:outlineLvl w:val="0"/>
    </w:pPr>
    <w:rPr>
      <w:b/>
      <w:bCs/>
      <w:color w:val="009242"/>
      <w:sz w:val="28"/>
      <w:szCs w:val="28"/>
    </w:rPr>
  </w:style>
  <w:style w:type="paragraph" w:styleId="Heading2">
    <w:name w:val="heading 2"/>
    <w:basedOn w:val="Normal"/>
    <w:next w:val="Normal"/>
    <w:link w:val="Heading2Char"/>
    <w:uiPriority w:val="9"/>
    <w:unhideWhenUsed/>
    <w:qFormat/>
    <w:rsid w:val="002B4038"/>
    <w:pPr>
      <w:keepNext/>
      <w:keepLines/>
      <w:numPr>
        <w:ilvl w:val="1"/>
        <w:numId w:val="7"/>
      </w:numPr>
      <w:spacing w:before="240" w:after="240" w:line="240" w:lineRule="auto"/>
      <w:outlineLvl w:val="1"/>
    </w:pPr>
    <w:rPr>
      <w:rFonts w:eastAsia="Times New Roman"/>
      <w:b/>
      <w:bCs/>
      <w:color w:val="009242"/>
    </w:rPr>
  </w:style>
  <w:style w:type="paragraph" w:styleId="Heading3">
    <w:name w:val="heading 3"/>
    <w:basedOn w:val="Normal"/>
    <w:next w:val="Normal"/>
    <w:link w:val="Heading3Char"/>
    <w:uiPriority w:val="9"/>
    <w:unhideWhenUsed/>
    <w:qFormat/>
    <w:rsid w:val="00B37DAA"/>
    <w:pPr>
      <w:keepNext/>
      <w:keepLines/>
      <w:numPr>
        <w:ilvl w:val="2"/>
        <w:numId w:val="7"/>
      </w:numPr>
      <w:spacing w:before="160" w:after="80"/>
      <w:outlineLvl w:val="2"/>
    </w:pPr>
    <w:rPr>
      <w:rFonts w:eastAsiaTheme="majorEastAsia"/>
      <w:color w:val="00863D"/>
    </w:rPr>
  </w:style>
  <w:style w:type="paragraph" w:styleId="Heading4">
    <w:name w:val="heading 4"/>
    <w:basedOn w:val="Normal"/>
    <w:next w:val="Normal"/>
    <w:link w:val="Heading4Char"/>
    <w:uiPriority w:val="9"/>
    <w:unhideWhenUsed/>
    <w:qFormat/>
    <w:rsid w:val="00AE7B08"/>
    <w:pPr>
      <w:keepNext/>
      <w:keepLines/>
      <w:numPr>
        <w:ilvl w:val="3"/>
        <w:numId w:val="7"/>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7"/>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131"/>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2B4038"/>
    <w:rPr>
      <w:rFonts w:ascii="Calibri" w:eastAsia="Times New Roman" w:hAnsi="Calibri" w:cs="Calibri"/>
      <w:b/>
      <w:bCs/>
      <w:color w:val="009242"/>
      <w:sz w:val="24"/>
      <w:szCs w:val="24"/>
      <w:lang w:eastAsia="en-GB"/>
    </w:rPr>
  </w:style>
  <w:style w:type="character" w:customStyle="1" w:styleId="Heading3Char">
    <w:name w:val="Heading 3 Char"/>
    <w:basedOn w:val="DefaultParagraphFont"/>
    <w:link w:val="Heading3"/>
    <w:uiPriority w:val="9"/>
    <w:rsid w:val="00B37DAA"/>
    <w:rPr>
      <w:rFonts w:ascii="Calibri" w:eastAsiaTheme="majorEastAsia" w:hAnsi="Calibri" w:cs="Calibri"/>
      <w:color w:val="00863D"/>
      <w:sz w:val="24"/>
      <w:szCs w:val="24"/>
      <w:lang w:eastAsia="en-GB"/>
    </w:rPr>
  </w:style>
  <w:style w:type="character" w:customStyle="1" w:styleId="Heading4Char">
    <w:name w:val="Heading 4 Char"/>
    <w:basedOn w:val="DefaultParagraphFont"/>
    <w:link w:val="Heading4"/>
    <w:uiPriority w:val="9"/>
    <w:rsid w:val="00AE7B08"/>
    <w:rPr>
      <w:rFonts w:ascii="Calibri" w:eastAsiaTheme="majorEastAsia" w:hAnsi="Calibr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AE7B08"/>
    <w:rPr>
      <w:rFonts w:ascii="Calibri" w:eastAsiaTheme="majorEastAsia" w:hAnsi="Calibr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AE7B08"/>
    <w:rPr>
      <w:rFonts w:ascii="Calibri" w:eastAsiaTheme="majorEastAsia" w:hAnsi="Calibri" w:cstheme="majorBidi"/>
      <w:i/>
      <w:iCs/>
      <w:color w:val="595959" w:themeColor="text1" w:themeTint="A6"/>
      <w:sz w:val="24"/>
      <w:szCs w:val="24"/>
      <w:lang w:eastAsia="en-GB"/>
    </w:rPr>
  </w:style>
  <w:style w:type="character" w:customStyle="1" w:styleId="Heading7Char">
    <w:name w:val="Heading 7 Char"/>
    <w:basedOn w:val="DefaultParagraphFont"/>
    <w:link w:val="Heading7"/>
    <w:uiPriority w:val="9"/>
    <w:semiHidden/>
    <w:rsid w:val="00AE7B08"/>
    <w:rPr>
      <w:rFonts w:ascii="Calibri" w:eastAsiaTheme="majorEastAsia" w:hAnsi="Calibri" w:cstheme="majorBidi"/>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AE7B08"/>
    <w:rPr>
      <w:rFonts w:ascii="Calibri" w:eastAsiaTheme="majorEastAsia" w:hAnsi="Calibri" w:cstheme="majorBidi"/>
      <w:i/>
      <w:iCs/>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AE7B08"/>
    <w:rPr>
      <w:rFonts w:ascii="Calibri" w:eastAsiaTheme="majorEastAsia" w:hAnsi="Calibri" w:cstheme="majorBidi"/>
      <w:color w:val="272727" w:themeColor="text1" w:themeTint="D8"/>
      <w:sz w:val="24"/>
      <w:szCs w:val="24"/>
      <w:lang w:eastAsia="en-GB"/>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4"/>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TOC3">
    <w:name w:val="toc 3"/>
    <w:basedOn w:val="Normal"/>
    <w:next w:val="Normal"/>
    <w:autoRedefine/>
    <w:uiPriority w:val="39"/>
    <w:unhideWhenUsed/>
    <w:rsid w:val="00A8211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bnssg.icb.nhs.uk/wp-content/uploads/2015/09/Facial-Surgery-Treatments.pdf" TargetMode="External"/><Relationship Id="rId26" Type="http://schemas.openxmlformats.org/officeDocument/2006/relationships/hyperlink" Target="https://bestpractice-bmj-com.knowledge.idm.oclc.org/topics/en-gb/859" TargetMode="External"/><Relationship Id="rId39" Type="http://schemas.openxmlformats.org/officeDocument/2006/relationships/hyperlink" Target="https://dx.doi.org/10.1111/jocd.14728" TargetMode="External"/><Relationship Id="rId21" Type="http://schemas.openxmlformats.org/officeDocument/2006/relationships/hyperlink" Target="https://dx.doi.org/10.18502/jovr.v15i2.6740" TargetMode="External"/><Relationship Id="rId34" Type="http://schemas.openxmlformats.org/officeDocument/2006/relationships/hyperlink" Target="https://dx.doi.org/10.1097/SAP.0000000000004163" TargetMode="External"/><Relationship Id="rId42" Type="http://schemas.openxmlformats.org/officeDocument/2006/relationships/hyperlink" Target="https://dx.doi.org/10.1007/s00266-024-04082-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is.evidence@nhs.scot" TargetMode="External"/><Relationship Id="rId29" Type="http://schemas.openxmlformats.org/officeDocument/2006/relationships/hyperlink" Target="https://dx.doi.org/10.1007/s00266-022-0289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7759/cureus.71006" TargetMode="External"/><Relationship Id="rId32" Type="http://schemas.openxmlformats.org/officeDocument/2006/relationships/hyperlink" Target="https://dx.doi.org/10.1097/PRS.0000000000010096" TargetMode="External"/><Relationship Id="rId37" Type="http://schemas.openxmlformats.org/officeDocument/2006/relationships/hyperlink" Target="https://dx.doi.org/10.1093/asjof/ojad027.003" TargetMode="External"/><Relationship Id="rId40" Type="http://schemas.openxmlformats.org/officeDocument/2006/relationships/hyperlink" Target="https://dx.doi.org/10.1111/jocd.16745"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dx.doi.org/10.1093/asjof/ojad099" TargetMode="External"/><Relationship Id="rId28" Type="http://schemas.openxmlformats.org/officeDocument/2006/relationships/hyperlink" Target="https://dx.doi.org/10.1093/asj/sjad228" TargetMode="External"/><Relationship Id="rId36" Type="http://schemas.openxmlformats.org/officeDocument/2006/relationships/hyperlink" Target="https://dx.doi.org/10.1097/SAP.0000000000004050" TargetMode="External"/><Relationship Id="rId10" Type="http://schemas.openxmlformats.org/officeDocument/2006/relationships/endnotes" Target="endnotes.xml"/><Relationship Id="rId19" Type="http://schemas.openxmlformats.org/officeDocument/2006/relationships/hyperlink" Target="https://northyorkshireccg.nhs.uk/wp-content/uploads/2021/04/Cosmetic-Plastic-Surgery-NY-CCG_v1.0_01.07.2021.pdf" TargetMode="External"/><Relationship Id="rId31" Type="http://schemas.openxmlformats.org/officeDocument/2006/relationships/hyperlink" Target="https://dx.doi.org/10.1016/j.jpra.2023.06.00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016/j.bjps.2021.11.051" TargetMode="External"/><Relationship Id="rId27" Type="http://schemas.openxmlformats.org/officeDocument/2006/relationships/hyperlink" Target="https://dx.doi.org/10.1097/PRS.0000000000009097" TargetMode="External"/><Relationship Id="rId30" Type="http://schemas.openxmlformats.org/officeDocument/2006/relationships/hyperlink" Target="https://dx.doi.org/10.1093/asj/sjz045" TargetMode="External"/><Relationship Id="rId35" Type="http://schemas.openxmlformats.org/officeDocument/2006/relationships/hyperlink" Target="https://dx.doi.org/10.1177/2292550320903401"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bapras.org.uk/docs/default-source/commissioning-and-policy/information-for-commissioners-of-plastic-surgery-services.pdf?sfvrsn=ba572cc3_2" TargetMode="External"/><Relationship Id="rId25" Type="http://schemas.openxmlformats.org/officeDocument/2006/relationships/hyperlink" Target="https://dx.doi.org/10.1097/PRS.0000000000001264" TargetMode="External"/><Relationship Id="rId33" Type="http://schemas.openxmlformats.org/officeDocument/2006/relationships/hyperlink" Target="https://dx.doi.org/10.1055/s-0044-1791690" TargetMode="External"/><Relationship Id="rId38" Type="http://schemas.openxmlformats.org/officeDocument/2006/relationships/hyperlink" Target="https://www-dynamed-com.knowledge.idm.oclc.org/procedure/cosmetic-skin-resurfacing" TargetMode="External"/><Relationship Id="rId20" Type="http://schemas.openxmlformats.org/officeDocument/2006/relationships/hyperlink" Target="https://www.nice.org.uk/Guidance/CG31" TargetMode="External"/><Relationship Id="rId41" Type="http://schemas.openxmlformats.org/officeDocument/2006/relationships/hyperlink" Target="https://dx.doi.org/10.1097/DSS.0000000000004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3.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4.xml><?xml version="1.0" encoding="utf-8"?>
<ds:datastoreItem xmlns:ds="http://schemas.openxmlformats.org/officeDocument/2006/customXml" ds:itemID="{55644238-EF26-4AEA-A9B7-2EE8519FCAFE}">
  <ds:schemaRefs>
    <ds:schemaRef ds:uri="http://schemas.microsoft.com/office/2006/metadata/properties"/>
    <ds:schemaRef ds:uri="http://schemas.microsoft.com/office/infopath/2007/PartnerControls"/>
    <ds:schemaRef ds:uri="c03657d8-15a2-4c46-bd5d-c19a21016eda"/>
    <ds:schemaRef ds:uri="54d1c5b6-be05-4bbd-bcf7-747edf3e022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4732</Words>
  <Characters>26974</Characters>
  <Application>Microsoft Office Word</Application>
  <DocSecurity>0</DocSecurity>
  <PresentationFormat/>
  <Lines>224</Lines>
  <Paragraphs>63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 (NHS Healthcare Improvement Scotland)</dc:creator>
  <cp:keywords/>
  <dc:description/>
  <cp:lastModifiedBy>Jamie Savage (NHS Healthcare Improvement Scotland)</cp:lastModifiedBy>
  <cp:revision>3</cp:revision>
  <cp:lastPrinted>1900-01-01T00:00:00Z</cp:lastPrinted>
  <dcterms:created xsi:type="dcterms:W3CDTF">2025-05-13T16:49:00Z</dcterms:created>
  <dcterms:modified xsi:type="dcterms:W3CDTF">2025-10-02T08:40:00Z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e8056918-0859-4626-bb8a-fb741d42390a</vt:lpwstr>
  </property>
</Properties>
</file>