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ECA2" w14:textId="7E9AE81B" w:rsidR="006A6151" w:rsidRPr="00280ED6" w:rsidRDefault="00840914" w:rsidP="00280ED6">
      <w:pPr>
        <w:pStyle w:val="Title"/>
      </w:pPr>
      <w:bookmarkStart w:id="0" w:name="_Toc145489404"/>
      <w:r w:rsidRPr="00280ED6">
        <w:t xml:space="preserve">Management of agitation and delirium of frail patients in the Emergency </w:t>
      </w:r>
      <w:r w:rsidR="00A8487C" w:rsidRPr="00280ED6">
        <w:t>Department</w:t>
      </w:r>
      <w:bookmarkEnd w:id="0"/>
    </w:p>
    <w:p w14:paraId="46346301" w14:textId="77777777" w:rsidR="004A158B" w:rsidRPr="00280ED6" w:rsidRDefault="004A158B">
      <w:pPr>
        <w:rPr>
          <w:b/>
          <w:bCs/>
        </w:rPr>
      </w:pPr>
    </w:p>
    <w:p w14:paraId="40DA20EE" w14:textId="2BE0B16E" w:rsidR="00280ED6" w:rsidRDefault="00280ED6" w:rsidP="00280ED6">
      <w:pPr>
        <w:pStyle w:val="Heading1"/>
      </w:pPr>
      <w:bookmarkStart w:id="1" w:name="_Toc145490186"/>
      <w:r>
        <w:t>Document information</w:t>
      </w:r>
      <w:bookmarkEnd w:id="1"/>
    </w:p>
    <w:p w14:paraId="331E6925" w14:textId="1E871FC2" w:rsidR="00A8487C" w:rsidRPr="00280ED6" w:rsidRDefault="00A8487C">
      <w:pPr>
        <w:rPr>
          <w:b/>
          <w:bCs/>
        </w:rPr>
      </w:pPr>
      <w:r w:rsidRPr="00280ED6">
        <w:rPr>
          <w:b/>
          <w:bCs/>
        </w:rPr>
        <w:t xml:space="preserve">Author: </w:t>
      </w:r>
      <w:r w:rsidR="00840914" w:rsidRPr="00280ED6">
        <w:rPr>
          <w:b/>
          <w:bCs/>
        </w:rPr>
        <w:t>Tim Wright</w:t>
      </w:r>
      <w:r w:rsidRPr="00280ED6">
        <w:rPr>
          <w:b/>
          <w:bCs/>
        </w:rPr>
        <w:t>,</w:t>
      </w:r>
      <w:r w:rsidR="00840914" w:rsidRPr="00280ED6">
        <w:rPr>
          <w:b/>
          <w:bCs/>
        </w:rPr>
        <w:t xml:space="preserve"> Consultant in Emergency Medicine</w:t>
      </w:r>
    </w:p>
    <w:p w14:paraId="7D59D742" w14:textId="3EC04FDC" w:rsidR="00840914" w:rsidRPr="00280ED6" w:rsidRDefault="00A8487C">
      <w:pPr>
        <w:rPr>
          <w:b/>
          <w:bCs/>
        </w:rPr>
      </w:pPr>
      <w:r w:rsidRPr="00280ED6">
        <w:rPr>
          <w:b/>
          <w:bCs/>
        </w:rPr>
        <w:t xml:space="preserve">Date: </w:t>
      </w:r>
      <w:r w:rsidR="00410201" w:rsidRPr="00280ED6">
        <w:rPr>
          <w:b/>
          <w:bCs/>
        </w:rPr>
        <w:t xml:space="preserve">March </w:t>
      </w:r>
      <w:r w:rsidR="00840914" w:rsidRPr="00280ED6">
        <w:rPr>
          <w:b/>
          <w:bCs/>
        </w:rPr>
        <w:t>2023</w:t>
      </w:r>
    </w:p>
    <w:p w14:paraId="6BFA1753" w14:textId="6622AE64" w:rsidR="004A158B" w:rsidRPr="00280ED6" w:rsidRDefault="004A158B">
      <w:pPr>
        <w:rPr>
          <w:b/>
          <w:bCs/>
        </w:rPr>
      </w:pPr>
      <w:r w:rsidRPr="00280ED6">
        <w:rPr>
          <w:b/>
          <w:bCs/>
        </w:rPr>
        <w:t>Audience: Clinical staff at St John’s Hospital Emergency Department</w:t>
      </w:r>
    </w:p>
    <w:p w14:paraId="5ECBC836" w14:textId="2F26D71E" w:rsidR="00410201" w:rsidRDefault="004A158B">
      <w:pPr>
        <w:rPr>
          <w:b/>
          <w:bCs/>
        </w:rPr>
      </w:pPr>
      <w:r w:rsidRPr="00280ED6">
        <w:rPr>
          <w:b/>
          <w:bCs/>
        </w:rPr>
        <w:t xml:space="preserve">Pre-amble: </w:t>
      </w:r>
      <w:r w:rsidR="00410201" w:rsidRPr="00280ED6">
        <w:rPr>
          <w:b/>
          <w:bCs/>
        </w:rPr>
        <w:t xml:space="preserve">This guideline is based on, and designed to be used with reference to, SIGN Guideline 157 Risk Reduction and Management of </w:t>
      </w:r>
      <w:r w:rsidR="00A8487C" w:rsidRPr="00280ED6">
        <w:rPr>
          <w:b/>
          <w:bCs/>
        </w:rPr>
        <w:t>Delirium</w:t>
      </w:r>
      <w:r w:rsidR="00410201" w:rsidRPr="00280ED6">
        <w:rPr>
          <w:b/>
          <w:bCs/>
        </w:rPr>
        <w:t xml:space="preserve"> March 2019</w:t>
      </w:r>
    </w:p>
    <w:p w14:paraId="46D6682F" w14:textId="5124B0D5" w:rsidR="00280ED6" w:rsidRDefault="00280ED6">
      <w:pPr>
        <w:rPr>
          <w:b/>
          <w:bCs/>
        </w:rPr>
      </w:pPr>
      <w:r>
        <w:rPr>
          <w:b/>
          <w:bCs/>
        </w:rPr>
        <w:t>Revisions:</w:t>
      </w:r>
    </w:p>
    <w:p w14:paraId="1632AAE2" w14:textId="129F1B19" w:rsidR="00280ED6" w:rsidRDefault="00280ED6" w:rsidP="00280ED6">
      <w:pPr>
        <w:pStyle w:val="ListParagraph"/>
        <w:numPr>
          <w:ilvl w:val="0"/>
          <w:numId w:val="4"/>
        </w:numPr>
        <w:rPr>
          <w:b/>
          <w:bCs/>
        </w:rPr>
      </w:pPr>
      <w:r>
        <w:rPr>
          <w:b/>
          <w:bCs/>
        </w:rPr>
        <w:t>March 2023 – initial interim version by TW</w:t>
      </w:r>
      <w:r w:rsidR="008C4282">
        <w:rPr>
          <w:b/>
          <w:bCs/>
        </w:rPr>
        <w:t>, approved by CMG</w:t>
      </w:r>
    </w:p>
    <w:p w14:paraId="2AAA5D1B" w14:textId="33DB1A46" w:rsidR="00280ED6" w:rsidRPr="00280ED6" w:rsidRDefault="00280ED6" w:rsidP="00280ED6">
      <w:pPr>
        <w:pStyle w:val="ListParagraph"/>
        <w:numPr>
          <w:ilvl w:val="0"/>
          <w:numId w:val="4"/>
        </w:numPr>
        <w:rPr>
          <w:b/>
          <w:bCs/>
        </w:rPr>
      </w:pPr>
      <w:r>
        <w:rPr>
          <w:b/>
          <w:bCs/>
        </w:rPr>
        <w:t>13 September 2023 – formatting by DD for upload to toolkit</w:t>
      </w:r>
    </w:p>
    <w:p w14:paraId="7BB152DC" w14:textId="77777777" w:rsidR="00280ED6" w:rsidRDefault="00280ED6">
      <w:pPr>
        <w:rPr>
          <w:b/>
          <w:bCs/>
        </w:rPr>
      </w:pPr>
    </w:p>
    <w:p w14:paraId="73072466" w14:textId="77777777" w:rsidR="00280ED6" w:rsidRDefault="00280ED6">
      <w:pPr>
        <w:rPr>
          <w:b/>
          <w:bCs/>
        </w:rPr>
      </w:pPr>
    </w:p>
    <w:p w14:paraId="15E2EA05" w14:textId="664BAC19" w:rsidR="00280ED6" w:rsidRPr="00280ED6" w:rsidRDefault="00280ED6" w:rsidP="00280ED6">
      <w:pPr>
        <w:pStyle w:val="Heading1"/>
      </w:pPr>
      <w:bookmarkStart w:id="2" w:name="_Toc145490187"/>
      <w:r>
        <w:t>Table of contents</w:t>
      </w:r>
      <w:bookmarkEnd w:id="2"/>
    </w:p>
    <w:p w14:paraId="46C147DB" w14:textId="741F4612" w:rsidR="00C902DB" w:rsidRDefault="00280ED6">
      <w:pPr>
        <w:pStyle w:val="TOC1"/>
        <w:rPr>
          <w:rFonts w:eastAsiaTheme="minorEastAsia"/>
          <w:noProof/>
          <w:kern w:val="2"/>
          <w:sz w:val="24"/>
          <w:szCs w:val="24"/>
          <w:lang w:eastAsia="en-GB"/>
          <w14:ligatures w14:val="standardContextual"/>
        </w:rPr>
      </w:pPr>
      <w:r>
        <w:rPr>
          <w:b/>
          <w:bCs/>
        </w:rPr>
        <w:fldChar w:fldCharType="begin"/>
      </w:r>
      <w:r>
        <w:rPr>
          <w:b/>
          <w:bCs/>
        </w:rPr>
        <w:instrText xml:space="preserve"> TOC \o "1-3" \h \z \u </w:instrText>
      </w:r>
      <w:r>
        <w:rPr>
          <w:b/>
          <w:bCs/>
        </w:rPr>
        <w:fldChar w:fldCharType="separate"/>
      </w:r>
      <w:hyperlink w:anchor="_Toc145490186" w:history="1">
        <w:r w:rsidR="00C902DB" w:rsidRPr="005972CE">
          <w:rPr>
            <w:rStyle w:val="Hyperlink"/>
            <w:noProof/>
          </w:rPr>
          <w:t>Document information</w:t>
        </w:r>
        <w:r w:rsidR="00C902DB">
          <w:rPr>
            <w:noProof/>
            <w:webHidden/>
          </w:rPr>
          <w:tab/>
        </w:r>
        <w:r w:rsidR="00C902DB">
          <w:rPr>
            <w:noProof/>
            <w:webHidden/>
          </w:rPr>
          <w:fldChar w:fldCharType="begin"/>
        </w:r>
        <w:r w:rsidR="00C902DB">
          <w:rPr>
            <w:noProof/>
            <w:webHidden/>
          </w:rPr>
          <w:instrText xml:space="preserve"> PAGEREF _Toc145490186 \h </w:instrText>
        </w:r>
        <w:r w:rsidR="00C902DB">
          <w:rPr>
            <w:noProof/>
            <w:webHidden/>
          </w:rPr>
        </w:r>
        <w:r w:rsidR="00C902DB">
          <w:rPr>
            <w:noProof/>
            <w:webHidden/>
          </w:rPr>
          <w:fldChar w:fldCharType="separate"/>
        </w:r>
        <w:r w:rsidR="00C902DB">
          <w:rPr>
            <w:noProof/>
            <w:webHidden/>
          </w:rPr>
          <w:t>1</w:t>
        </w:r>
        <w:r w:rsidR="00C902DB">
          <w:rPr>
            <w:noProof/>
            <w:webHidden/>
          </w:rPr>
          <w:fldChar w:fldCharType="end"/>
        </w:r>
      </w:hyperlink>
    </w:p>
    <w:p w14:paraId="7FEE8647" w14:textId="3AFB019F" w:rsidR="00C902DB" w:rsidRDefault="00000000">
      <w:pPr>
        <w:pStyle w:val="TOC1"/>
        <w:rPr>
          <w:rFonts w:eastAsiaTheme="minorEastAsia"/>
          <w:noProof/>
          <w:kern w:val="2"/>
          <w:sz w:val="24"/>
          <w:szCs w:val="24"/>
          <w:lang w:eastAsia="en-GB"/>
          <w14:ligatures w14:val="standardContextual"/>
        </w:rPr>
      </w:pPr>
      <w:hyperlink w:anchor="_Toc145490187" w:history="1">
        <w:r w:rsidR="00C902DB" w:rsidRPr="005972CE">
          <w:rPr>
            <w:rStyle w:val="Hyperlink"/>
            <w:noProof/>
          </w:rPr>
          <w:t>Table of contents</w:t>
        </w:r>
        <w:r w:rsidR="00C902DB">
          <w:rPr>
            <w:noProof/>
            <w:webHidden/>
          </w:rPr>
          <w:tab/>
        </w:r>
        <w:r w:rsidR="00C902DB">
          <w:rPr>
            <w:noProof/>
            <w:webHidden/>
          </w:rPr>
          <w:fldChar w:fldCharType="begin"/>
        </w:r>
        <w:r w:rsidR="00C902DB">
          <w:rPr>
            <w:noProof/>
            <w:webHidden/>
          </w:rPr>
          <w:instrText xml:space="preserve"> PAGEREF _Toc145490187 \h </w:instrText>
        </w:r>
        <w:r w:rsidR="00C902DB">
          <w:rPr>
            <w:noProof/>
            <w:webHidden/>
          </w:rPr>
        </w:r>
        <w:r w:rsidR="00C902DB">
          <w:rPr>
            <w:noProof/>
            <w:webHidden/>
          </w:rPr>
          <w:fldChar w:fldCharType="separate"/>
        </w:r>
        <w:r w:rsidR="00C902DB">
          <w:rPr>
            <w:noProof/>
            <w:webHidden/>
          </w:rPr>
          <w:t>1</w:t>
        </w:r>
        <w:r w:rsidR="00C902DB">
          <w:rPr>
            <w:noProof/>
            <w:webHidden/>
          </w:rPr>
          <w:fldChar w:fldCharType="end"/>
        </w:r>
      </w:hyperlink>
    </w:p>
    <w:p w14:paraId="7CA25D4E" w14:textId="71FFF4B5" w:rsidR="00C902DB" w:rsidRDefault="00000000">
      <w:pPr>
        <w:pStyle w:val="TOC1"/>
        <w:rPr>
          <w:rFonts w:eastAsiaTheme="minorEastAsia"/>
          <w:noProof/>
          <w:kern w:val="2"/>
          <w:sz w:val="24"/>
          <w:szCs w:val="24"/>
          <w:lang w:eastAsia="en-GB"/>
          <w14:ligatures w14:val="standardContextual"/>
        </w:rPr>
      </w:pPr>
      <w:hyperlink w:anchor="_Toc145490188" w:history="1">
        <w:r w:rsidR="00C902DB" w:rsidRPr="005972CE">
          <w:rPr>
            <w:rStyle w:val="Hyperlink"/>
            <w:noProof/>
          </w:rPr>
          <w:t>Introduction</w:t>
        </w:r>
        <w:r w:rsidR="00C902DB">
          <w:rPr>
            <w:noProof/>
            <w:webHidden/>
          </w:rPr>
          <w:tab/>
        </w:r>
        <w:r w:rsidR="00C902DB">
          <w:rPr>
            <w:noProof/>
            <w:webHidden/>
          </w:rPr>
          <w:fldChar w:fldCharType="begin"/>
        </w:r>
        <w:r w:rsidR="00C902DB">
          <w:rPr>
            <w:noProof/>
            <w:webHidden/>
          </w:rPr>
          <w:instrText xml:space="preserve"> PAGEREF _Toc145490188 \h </w:instrText>
        </w:r>
        <w:r w:rsidR="00C902DB">
          <w:rPr>
            <w:noProof/>
            <w:webHidden/>
          </w:rPr>
        </w:r>
        <w:r w:rsidR="00C902DB">
          <w:rPr>
            <w:noProof/>
            <w:webHidden/>
          </w:rPr>
          <w:fldChar w:fldCharType="separate"/>
        </w:r>
        <w:r w:rsidR="00C902DB">
          <w:rPr>
            <w:noProof/>
            <w:webHidden/>
          </w:rPr>
          <w:t>2</w:t>
        </w:r>
        <w:r w:rsidR="00C902DB">
          <w:rPr>
            <w:noProof/>
            <w:webHidden/>
          </w:rPr>
          <w:fldChar w:fldCharType="end"/>
        </w:r>
      </w:hyperlink>
    </w:p>
    <w:p w14:paraId="7BE281C7" w14:textId="04D5FAA9" w:rsidR="00C902DB" w:rsidRDefault="00000000">
      <w:pPr>
        <w:pStyle w:val="TOC1"/>
        <w:rPr>
          <w:rFonts w:eastAsiaTheme="minorEastAsia"/>
          <w:noProof/>
          <w:kern w:val="2"/>
          <w:sz w:val="24"/>
          <w:szCs w:val="24"/>
          <w:lang w:eastAsia="en-GB"/>
          <w14:ligatures w14:val="standardContextual"/>
        </w:rPr>
      </w:pPr>
      <w:hyperlink w:anchor="_Toc145490189" w:history="1">
        <w:r w:rsidR="00C902DB" w:rsidRPr="005972CE">
          <w:rPr>
            <w:rStyle w:val="Hyperlink"/>
            <w:noProof/>
          </w:rPr>
          <w:t>Definition of delirium</w:t>
        </w:r>
        <w:r w:rsidR="00C902DB">
          <w:rPr>
            <w:noProof/>
            <w:webHidden/>
          </w:rPr>
          <w:tab/>
        </w:r>
        <w:r w:rsidR="00C902DB">
          <w:rPr>
            <w:noProof/>
            <w:webHidden/>
          </w:rPr>
          <w:fldChar w:fldCharType="begin"/>
        </w:r>
        <w:r w:rsidR="00C902DB">
          <w:rPr>
            <w:noProof/>
            <w:webHidden/>
          </w:rPr>
          <w:instrText xml:space="preserve"> PAGEREF _Toc145490189 \h </w:instrText>
        </w:r>
        <w:r w:rsidR="00C902DB">
          <w:rPr>
            <w:noProof/>
            <w:webHidden/>
          </w:rPr>
        </w:r>
        <w:r w:rsidR="00C902DB">
          <w:rPr>
            <w:noProof/>
            <w:webHidden/>
          </w:rPr>
          <w:fldChar w:fldCharType="separate"/>
        </w:r>
        <w:r w:rsidR="00C902DB">
          <w:rPr>
            <w:noProof/>
            <w:webHidden/>
          </w:rPr>
          <w:t>2</w:t>
        </w:r>
        <w:r w:rsidR="00C902DB">
          <w:rPr>
            <w:noProof/>
            <w:webHidden/>
          </w:rPr>
          <w:fldChar w:fldCharType="end"/>
        </w:r>
      </w:hyperlink>
    </w:p>
    <w:p w14:paraId="3B99A6A8" w14:textId="5193D1BE" w:rsidR="00C902DB" w:rsidRDefault="00000000">
      <w:pPr>
        <w:pStyle w:val="TOC1"/>
        <w:rPr>
          <w:rFonts w:eastAsiaTheme="minorEastAsia"/>
          <w:noProof/>
          <w:kern w:val="2"/>
          <w:sz w:val="24"/>
          <w:szCs w:val="24"/>
          <w:lang w:eastAsia="en-GB"/>
          <w14:ligatures w14:val="standardContextual"/>
        </w:rPr>
      </w:pPr>
      <w:hyperlink w:anchor="_Toc145490190" w:history="1">
        <w:r w:rsidR="00C902DB" w:rsidRPr="005972CE">
          <w:rPr>
            <w:rStyle w:val="Hyperlink"/>
            <w:noProof/>
          </w:rPr>
          <w:t>Detecting Delirium</w:t>
        </w:r>
        <w:r w:rsidR="00C902DB">
          <w:rPr>
            <w:noProof/>
            <w:webHidden/>
          </w:rPr>
          <w:tab/>
        </w:r>
        <w:r w:rsidR="00C902DB">
          <w:rPr>
            <w:noProof/>
            <w:webHidden/>
          </w:rPr>
          <w:fldChar w:fldCharType="begin"/>
        </w:r>
        <w:r w:rsidR="00C902DB">
          <w:rPr>
            <w:noProof/>
            <w:webHidden/>
          </w:rPr>
          <w:instrText xml:space="preserve"> PAGEREF _Toc145490190 \h </w:instrText>
        </w:r>
        <w:r w:rsidR="00C902DB">
          <w:rPr>
            <w:noProof/>
            <w:webHidden/>
          </w:rPr>
        </w:r>
        <w:r w:rsidR="00C902DB">
          <w:rPr>
            <w:noProof/>
            <w:webHidden/>
          </w:rPr>
          <w:fldChar w:fldCharType="separate"/>
        </w:r>
        <w:r w:rsidR="00C902DB">
          <w:rPr>
            <w:noProof/>
            <w:webHidden/>
          </w:rPr>
          <w:t>2</w:t>
        </w:r>
        <w:r w:rsidR="00C902DB">
          <w:rPr>
            <w:noProof/>
            <w:webHidden/>
          </w:rPr>
          <w:fldChar w:fldCharType="end"/>
        </w:r>
      </w:hyperlink>
    </w:p>
    <w:p w14:paraId="109B3C26" w14:textId="646F4B41" w:rsidR="00C902DB" w:rsidRDefault="00000000">
      <w:pPr>
        <w:pStyle w:val="TOC1"/>
        <w:rPr>
          <w:rFonts w:eastAsiaTheme="minorEastAsia"/>
          <w:noProof/>
          <w:kern w:val="2"/>
          <w:sz w:val="24"/>
          <w:szCs w:val="24"/>
          <w:lang w:eastAsia="en-GB"/>
          <w14:ligatures w14:val="standardContextual"/>
        </w:rPr>
      </w:pPr>
      <w:hyperlink w:anchor="_Toc145490191" w:history="1">
        <w:r w:rsidR="00C902DB" w:rsidRPr="005972CE">
          <w:rPr>
            <w:rStyle w:val="Hyperlink"/>
            <w:noProof/>
          </w:rPr>
          <w:t>Non-pharmacological Management</w:t>
        </w:r>
        <w:r w:rsidR="00C902DB">
          <w:rPr>
            <w:noProof/>
            <w:webHidden/>
          </w:rPr>
          <w:tab/>
        </w:r>
        <w:r w:rsidR="00C902DB">
          <w:rPr>
            <w:noProof/>
            <w:webHidden/>
          </w:rPr>
          <w:fldChar w:fldCharType="begin"/>
        </w:r>
        <w:r w:rsidR="00C902DB">
          <w:rPr>
            <w:noProof/>
            <w:webHidden/>
          </w:rPr>
          <w:instrText xml:space="preserve"> PAGEREF _Toc145490191 \h </w:instrText>
        </w:r>
        <w:r w:rsidR="00C902DB">
          <w:rPr>
            <w:noProof/>
            <w:webHidden/>
          </w:rPr>
        </w:r>
        <w:r w:rsidR="00C902DB">
          <w:rPr>
            <w:noProof/>
            <w:webHidden/>
          </w:rPr>
          <w:fldChar w:fldCharType="separate"/>
        </w:r>
        <w:r w:rsidR="00C902DB">
          <w:rPr>
            <w:noProof/>
            <w:webHidden/>
          </w:rPr>
          <w:t>2</w:t>
        </w:r>
        <w:r w:rsidR="00C902DB">
          <w:rPr>
            <w:noProof/>
            <w:webHidden/>
          </w:rPr>
          <w:fldChar w:fldCharType="end"/>
        </w:r>
      </w:hyperlink>
    </w:p>
    <w:p w14:paraId="2E5F2B5D" w14:textId="3BB3A935" w:rsidR="00C902DB" w:rsidRDefault="00000000">
      <w:pPr>
        <w:pStyle w:val="TOC1"/>
        <w:rPr>
          <w:rFonts w:eastAsiaTheme="minorEastAsia"/>
          <w:noProof/>
          <w:kern w:val="2"/>
          <w:sz w:val="24"/>
          <w:szCs w:val="24"/>
          <w:lang w:eastAsia="en-GB"/>
          <w14:ligatures w14:val="standardContextual"/>
        </w:rPr>
      </w:pPr>
      <w:hyperlink w:anchor="_Toc145490192" w:history="1">
        <w:r w:rsidR="00C902DB" w:rsidRPr="005972CE">
          <w:rPr>
            <w:rStyle w:val="Hyperlink"/>
            <w:noProof/>
          </w:rPr>
          <w:t>Pharmacological management</w:t>
        </w:r>
        <w:r w:rsidR="00C902DB">
          <w:rPr>
            <w:noProof/>
            <w:webHidden/>
          </w:rPr>
          <w:tab/>
        </w:r>
        <w:r w:rsidR="00C902DB">
          <w:rPr>
            <w:noProof/>
            <w:webHidden/>
          </w:rPr>
          <w:fldChar w:fldCharType="begin"/>
        </w:r>
        <w:r w:rsidR="00C902DB">
          <w:rPr>
            <w:noProof/>
            <w:webHidden/>
          </w:rPr>
          <w:instrText xml:space="preserve"> PAGEREF _Toc145490192 \h </w:instrText>
        </w:r>
        <w:r w:rsidR="00C902DB">
          <w:rPr>
            <w:noProof/>
            <w:webHidden/>
          </w:rPr>
        </w:r>
        <w:r w:rsidR="00C902DB">
          <w:rPr>
            <w:noProof/>
            <w:webHidden/>
          </w:rPr>
          <w:fldChar w:fldCharType="separate"/>
        </w:r>
        <w:r w:rsidR="00C902DB">
          <w:rPr>
            <w:noProof/>
            <w:webHidden/>
          </w:rPr>
          <w:t>4</w:t>
        </w:r>
        <w:r w:rsidR="00C902DB">
          <w:rPr>
            <w:noProof/>
            <w:webHidden/>
          </w:rPr>
          <w:fldChar w:fldCharType="end"/>
        </w:r>
      </w:hyperlink>
    </w:p>
    <w:p w14:paraId="140F530C" w14:textId="401A96FC" w:rsidR="00C902DB" w:rsidRDefault="00000000">
      <w:pPr>
        <w:pStyle w:val="TOC2"/>
        <w:tabs>
          <w:tab w:val="right" w:leader="dot" w:pos="9016"/>
        </w:tabs>
        <w:rPr>
          <w:rFonts w:eastAsiaTheme="minorEastAsia"/>
          <w:noProof/>
          <w:kern w:val="2"/>
          <w:sz w:val="24"/>
          <w:szCs w:val="24"/>
          <w:lang w:eastAsia="en-GB"/>
          <w14:ligatures w14:val="standardContextual"/>
        </w:rPr>
      </w:pPr>
      <w:hyperlink w:anchor="_Toc145490193" w:history="1">
        <w:r w:rsidR="00C902DB" w:rsidRPr="005972CE">
          <w:rPr>
            <w:rStyle w:val="Hyperlink"/>
            <w:noProof/>
          </w:rPr>
          <w:t>Drugs and doses</w:t>
        </w:r>
        <w:r w:rsidR="00C902DB">
          <w:rPr>
            <w:noProof/>
            <w:webHidden/>
          </w:rPr>
          <w:tab/>
        </w:r>
        <w:r w:rsidR="00C902DB">
          <w:rPr>
            <w:noProof/>
            <w:webHidden/>
          </w:rPr>
          <w:fldChar w:fldCharType="begin"/>
        </w:r>
        <w:r w:rsidR="00C902DB">
          <w:rPr>
            <w:noProof/>
            <w:webHidden/>
          </w:rPr>
          <w:instrText xml:space="preserve"> PAGEREF _Toc145490193 \h </w:instrText>
        </w:r>
        <w:r w:rsidR="00C902DB">
          <w:rPr>
            <w:noProof/>
            <w:webHidden/>
          </w:rPr>
        </w:r>
        <w:r w:rsidR="00C902DB">
          <w:rPr>
            <w:noProof/>
            <w:webHidden/>
          </w:rPr>
          <w:fldChar w:fldCharType="separate"/>
        </w:r>
        <w:r w:rsidR="00C902DB">
          <w:rPr>
            <w:noProof/>
            <w:webHidden/>
          </w:rPr>
          <w:t>4</w:t>
        </w:r>
        <w:r w:rsidR="00C902DB">
          <w:rPr>
            <w:noProof/>
            <w:webHidden/>
          </w:rPr>
          <w:fldChar w:fldCharType="end"/>
        </w:r>
      </w:hyperlink>
    </w:p>
    <w:p w14:paraId="2AF1B90B" w14:textId="7291A367" w:rsidR="00C902DB" w:rsidRDefault="00000000">
      <w:pPr>
        <w:pStyle w:val="TOC2"/>
        <w:tabs>
          <w:tab w:val="right" w:leader="dot" w:pos="9016"/>
        </w:tabs>
        <w:rPr>
          <w:rFonts w:eastAsiaTheme="minorEastAsia"/>
          <w:noProof/>
          <w:kern w:val="2"/>
          <w:sz w:val="24"/>
          <w:szCs w:val="24"/>
          <w:lang w:eastAsia="en-GB"/>
          <w14:ligatures w14:val="standardContextual"/>
        </w:rPr>
      </w:pPr>
      <w:hyperlink w:anchor="_Toc145490194" w:history="1">
        <w:r w:rsidR="00C902DB" w:rsidRPr="005972CE">
          <w:rPr>
            <w:rStyle w:val="Hyperlink"/>
            <w:noProof/>
          </w:rPr>
          <w:t>Use of intravenous medication</w:t>
        </w:r>
        <w:r w:rsidR="00C902DB">
          <w:rPr>
            <w:noProof/>
            <w:webHidden/>
          </w:rPr>
          <w:tab/>
        </w:r>
        <w:r w:rsidR="00C902DB">
          <w:rPr>
            <w:noProof/>
            <w:webHidden/>
          </w:rPr>
          <w:fldChar w:fldCharType="begin"/>
        </w:r>
        <w:r w:rsidR="00C902DB">
          <w:rPr>
            <w:noProof/>
            <w:webHidden/>
          </w:rPr>
          <w:instrText xml:space="preserve"> PAGEREF _Toc145490194 \h </w:instrText>
        </w:r>
        <w:r w:rsidR="00C902DB">
          <w:rPr>
            <w:noProof/>
            <w:webHidden/>
          </w:rPr>
        </w:r>
        <w:r w:rsidR="00C902DB">
          <w:rPr>
            <w:noProof/>
            <w:webHidden/>
          </w:rPr>
          <w:fldChar w:fldCharType="separate"/>
        </w:r>
        <w:r w:rsidR="00C902DB">
          <w:rPr>
            <w:noProof/>
            <w:webHidden/>
          </w:rPr>
          <w:t>5</w:t>
        </w:r>
        <w:r w:rsidR="00C902DB">
          <w:rPr>
            <w:noProof/>
            <w:webHidden/>
          </w:rPr>
          <w:fldChar w:fldCharType="end"/>
        </w:r>
      </w:hyperlink>
    </w:p>
    <w:p w14:paraId="1654B1FE" w14:textId="6D183785" w:rsidR="00C902DB" w:rsidRDefault="00000000">
      <w:pPr>
        <w:pStyle w:val="TOC1"/>
        <w:rPr>
          <w:rFonts w:eastAsiaTheme="minorEastAsia"/>
          <w:noProof/>
          <w:kern w:val="2"/>
          <w:sz w:val="24"/>
          <w:szCs w:val="24"/>
          <w:lang w:eastAsia="en-GB"/>
          <w14:ligatures w14:val="standardContextual"/>
        </w:rPr>
      </w:pPr>
      <w:hyperlink w:anchor="_Toc145490195" w:history="1">
        <w:r w:rsidR="00C902DB" w:rsidRPr="005972CE">
          <w:rPr>
            <w:rStyle w:val="Hyperlink"/>
            <w:noProof/>
          </w:rPr>
          <w:t>Capacity</w:t>
        </w:r>
        <w:r w:rsidR="00C902DB">
          <w:rPr>
            <w:noProof/>
            <w:webHidden/>
          </w:rPr>
          <w:tab/>
        </w:r>
        <w:r w:rsidR="00C902DB">
          <w:rPr>
            <w:noProof/>
            <w:webHidden/>
          </w:rPr>
          <w:fldChar w:fldCharType="begin"/>
        </w:r>
        <w:r w:rsidR="00C902DB">
          <w:rPr>
            <w:noProof/>
            <w:webHidden/>
          </w:rPr>
          <w:instrText xml:space="preserve"> PAGEREF _Toc145490195 \h </w:instrText>
        </w:r>
        <w:r w:rsidR="00C902DB">
          <w:rPr>
            <w:noProof/>
            <w:webHidden/>
          </w:rPr>
        </w:r>
        <w:r w:rsidR="00C902DB">
          <w:rPr>
            <w:noProof/>
            <w:webHidden/>
          </w:rPr>
          <w:fldChar w:fldCharType="separate"/>
        </w:r>
        <w:r w:rsidR="00C902DB">
          <w:rPr>
            <w:noProof/>
            <w:webHidden/>
          </w:rPr>
          <w:t>6</w:t>
        </w:r>
        <w:r w:rsidR="00C902DB">
          <w:rPr>
            <w:noProof/>
            <w:webHidden/>
          </w:rPr>
          <w:fldChar w:fldCharType="end"/>
        </w:r>
      </w:hyperlink>
    </w:p>
    <w:p w14:paraId="4A3D0C54" w14:textId="3B3602D3" w:rsidR="00C902DB" w:rsidRDefault="00000000">
      <w:pPr>
        <w:pStyle w:val="TOC1"/>
        <w:rPr>
          <w:rFonts w:eastAsiaTheme="minorEastAsia"/>
          <w:noProof/>
          <w:kern w:val="2"/>
          <w:sz w:val="24"/>
          <w:szCs w:val="24"/>
          <w:lang w:eastAsia="en-GB"/>
          <w14:ligatures w14:val="standardContextual"/>
        </w:rPr>
      </w:pPr>
      <w:hyperlink w:anchor="_Toc145490196" w:history="1">
        <w:r w:rsidR="00C902DB" w:rsidRPr="005972CE">
          <w:rPr>
            <w:rStyle w:val="Hyperlink"/>
            <w:noProof/>
          </w:rPr>
          <w:t>References</w:t>
        </w:r>
        <w:r w:rsidR="00C902DB">
          <w:rPr>
            <w:noProof/>
            <w:webHidden/>
          </w:rPr>
          <w:tab/>
        </w:r>
        <w:r w:rsidR="00C902DB">
          <w:rPr>
            <w:noProof/>
            <w:webHidden/>
          </w:rPr>
          <w:fldChar w:fldCharType="begin"/>
        </w:r>
        <w:r w:rsidR="00C902DB">
          <w:rPr>
            <w:noProof/>
            <w:webHidden/>
          </w:rPr>
          <w:instrText xml:space="preserve"> PAGEREF _Toc145490196 \h </w:instrText>
        </w:r>
        <w:r w:rsidR="00C902DB">
          <w:rPr>
            <w:noProof/>
            <w:webHidden/>
          </w:rPr>
        </w:r>
        <w:r w:rsidR="00C902DB">
          <w:rPr>
            <w:noProof/>
            <w:webHidden/>
          </w:rPr>
          <w:fldChar w:fldCharType="separate"/>
        </w:r>
        <w:r w:rsidR="00C902DB">
          <w:rPr>
            <w:noProof/>
            <w:webHidden/>
          </w:rPr>
          <w:t>6</w:t>
        </w:r>
        <w:r w:rsidR="00C902DB">
          <w:rPr>
            <w:noProof/>
            <w:webHidden/>
          </w:rPr>
          <w:fldChar w:fldCharType="end"/>
        </w:r>
      </w:hyperlink>
    </w:p>
    <w:p w14:paraId="230ECF0E" w14:textId="2F205D0E" w:rsidR="00C902DB" w:rsidRDefault="00000000">
      <w:pPr>
        <w:pStyle w:val="TOC1"/>
        <w:rPr>
          <w:rFonts w:eastAsiaTheme="minorEastAsia"/>
          <w:noProof/>
          <w:kern w:val="2"/>
          <w:sz w:val="24"/>
          <w:szCs w:val="24"/>
          <w:lang w:eastAsia="en-GB"/>
          <w14:ligatures w14:val="standardContextual"/>
        </w:rPr>
      </w:pPr>
      <w:hyperlink w:anchor="_Toc145490197" w:history="1">
        <w:r w:rsidR="00C902DB" w:rsidRPr="005972CE">
          <w:rPr>
            <w:rStyle w:val="Hyperlink"/>
            <w:noProof/>
          </w:rPr>
          <w:t>Appendix 1 4AT assessment form</w:t>
        </w:r>
        <w:r w:rsidR="00C902DB">
          <w:rPr>
            <w:noProof/>
            <w:webHidden/>
          </w:rPr>
          <w:tab/>
        </w:r>
        <w:r w:rsidR="00C902DB">
          <w:rPr>
            <w:noProof/>
            <w:webHidden/>
          </w:rPr>
          <w:fldChar w:fldCharType="begin"/>
        </w:r>
        <w:r w:rsidR="00C902DB">
          <w:rPr>
            <w:noProof/>
            <w:webHidden/>
          </w:rPr>
          <w:instrText xml:space="preserve"> PAGEREF _Toc145490197 \h </w:instrText>
        </w:r>
        <w:r w:rsidR="00C902DB">
          <w:rPr>
            <w:noProof/>
            <w:webHidden/>
          </w:rPr>
        </w:r>
        <w:r w:rsidR="00C902DB">
          <w:rPr>
            <w:noProof/>
            <w:webHidden/>
          </w:rPr>
          <w:fldChar w:fldCharType="separate"/>
        </w:r>
        <w:r w:rsidR="00C902DB">
          <w:rPr>
            <w:noProof/>
            <w:webHidden/>
          </w:rPr>
          <w:t>7</w:t>
        </w:r>
        <w:r w:rsidR="00C902DB">
          <w:rPr>
            <w:noProof/>
            <w:webHidden/>
          </w:rPr>
          <w:fldChar w:fldCharType="end"/>
        </w:r>
      </w:hyperlink>
    </w:p>
    <w:p w14:paraId="32A13FC6" w14:textId="0A2A0C14" w:rsidR="00280ED6" w:rsidRPr="00280ED6" w:rsidRDefault="00280ED6">
      <w:pPr>
        <w:rPr>
          <w:b/>
          <w:bCs/>
        </w:rPr>
      </w:pPr>
      <w:r>
        <w:rPr>
          <w:b/>
          <w:bCs/>
        </w:rPr>
        <w:fldChar w:fldCharType="end"/>
      </w:r>
    </w:p>
    <w:p w14:paraId="34B084BB" w14:textId="77777777" w:rsidR="004A158B" w:rsidRPr="00280ED6" w:rsidRDefault="004A158B">
      <w:pPr>
        <w:rPr>
          <w:b/>
          <w:bCs/>
        </w:rPr>
      </w:pPr>
    </w:p>
    <w:p w14:paraId="6F966702" w14:textId="77777777" w:rsidR="00EE7029" w:rsidRPr="00280ED6" w:rsidRDefault="00EE7029">
      <w:pPr>
        <w:rPr>
          <w:rFonts w:eastAsiaTheme="majorEastAsia" w:cstheme="majorBidi"/>
          <w:b/>
          <w:color w:val="000000" w:themeColor="text1"/>
          <w:sz w:val="24"/>
          <w:szCs w:val="26"/>
          <w:u w:val="single"/>
        </w:rPr>
      </w:pPr>
      <w:bookmarkStart w:id="3" w:name="_Toc145489405"/>
      <w:r w:rsidRPr="00280ED6">
        <w:br w:type="page"/>
      </w:r>
    </w:p>
    <w:p w14:paraId="4C2E1E14" w14:textId="6229906C" w:rsidR="00840914" w:rsidRPr="00280ED6" w:rsidRDefault="00840914" w:rsidP="00280ED6">
      <w:pPr>
        <w:pStyle w:val="Heading1"/>
      </w:pPr>
      <w:bookmarkStart w:id="4" w:name="_Toc145489507"/>
      <w:bookmarkStart w:id="5" w:name="_Toc145490188"/>
      <w:r w:rsidRPr="00280ED6">
        <w:lastRenderedPageBreak/>
        <w:t>Introduction</w:t>
      </w:r>
      <w:bookmarkEnd w:id="3"/>
      <w:bookmarkEnd w:id="4"/>
      <w:bookmarkEnd w:id="5"/>
    </w:p>
    <w:p w14:paraId="63F81727" w14:textId="722E6197" w:rsidR="00410201" w:rsidRPr="00280ED6" w:rsidRDefault="00410201">
      <w:r w:rsidRPr="00280ED6">
        <w:t xml:space="preserve">This guideline was written to </w:t>
      </w:r>
      <w:r w:rsidR="00DA0527" w:rsidRPr="00280ED6">
        <w:t>inform</w:t>
      </w:r>
      <w:r w:rsidRPr="00280ED6">
        <w:t xml:space="preserve"> the acute management of agitated or delirious patients in the Emergency Department of St John’s Hospital.</w:t>
      </w:r>
    </w:p>
    <w:p w14:paraId="7862D42A" w14:textId="77777777" w:rsidR="00DA0527" w:rsidRPr="00280ED6" w:rsidRDefault="00DA0527"/>
    <w:p w14:paraId="08D66EBF" w14:textId="03B742E5" w:rsidR="00840914" w:rsidRPr="00280ED6" w:rsidRDefault="00840914" w:rsidP="00280ED6">
      <w:pPr>
        <w:pStyle w:val="Heading1"/>
      </w:pPr>
      <w:bookmarkStart w:id="6" w:name="_Toc145489406"/>
      <w:bookmarkStart w:id="7" w:name="_Toc145489508"/>
      <w:bookmarkStart w:id="8" w:name="_Toc145490189"/>
      <w:r w:rsidRPr="00280ED6">
        <w:t>Definition of delirium</w:t>
      </w:r>
      <w:bookmarkEnd w:id="6"/>
      <w:bookmarkEnd w:id="7"/>
      <w:bookmarkEnd w:id="8"/>
    </w:p>
    <w:p w14:paraId="3CB9528A" w14:textId="2A7034D2" w:rsidR="00352A4C" w:rsidRPr="00280ED6" w:rsidRDefault="00352A4C">
      <w:r w:rsidRPr="00280ED6">
        <w:t xml:space="preserve">Delirium, previously known as acute </w:t>
      </w:r>
      <w:proofErr w:type="spellStart"/>
      <w:r w:rsidRPr="00280ED6">
        <w:t>confusional</w:t>
      </w:r>
      <w:proofErr w:type="spellEnd"/>
      <w:r w:rsidRPr="00280ED6">
        <w:t xml:space="preserve"> state, is an acute deterioration in mental functioning arising over hours or days that is triggered mainly by acute medical illness, surgery, trauma, or drugs. The main features of delirium are acute cognitive deficits and altered level of arousal, with up to half of patients also experiencing hallucinations or delusions.</w:t>
      </w:r>
    </w:p>
    <w:p w14:paraId="5412D5EE" w14:textId="734CBD22" w:rsidR="00352A4C" w:rsidRPr="00280ED6" w:rsidRDefault="004A158B">
      <w:r w:rsidRPr="00280ED6">
        <w:t>Delirium</w:t>
      </w:r>
      <w:r w:rsidR="00352A4C" w:rsidRPr="00280ED6">
        <w:t xml:space="preserve"> can cause significant patient and carer distress.</w:t>
      </w:r>
    </w:p>
    <w:p w14:paraId="7E07229F" w14:textId="72C82412" w:rsidR="0082647A" w:rsidRPr="00280ED6" w:rsidRDefault="0082647A"/>
    <w:p w14:paraId="031CBF8D" w14:textId="73F82096" w:rsidR="0082647A" w:rsidRPr="00280ED6" w:rsidRDefault="0082647A" w:rsidP="00280ED6">
      <w:pPr>
        <w:pStyle w:val="Heading1"/>
      </w:pPr>
      <w:bookmarkStart w:id="9" w:name="_Toc145489407"/>
      <w:bookmarkStart w:id="10" w:name="_Toc145489509"/>
      <w:bookmarkStart w:id="11" w:name="_Toc145490190"/>
      <w:r w:rsidRPr="00280ED6">
        <w:t xml:space="preserve">Detecting </w:t>
      </w:r>
      <w:r w:rsidR="004A158B" w:rsidRPr="00280ED6">
        <w:t>Delirium</w:t>
      </w:r>
      <w:bookmarkEnd w:id="9"/>
      <w:bookmarkEnd w:id="10"/>
      <w:bookmarkEnd w:id="11"/>
    </w:p>
    <w:p w14:paraId="6FCFDB50" w14:textId="78F61E1C" w:rsidR="0082647A" w:rsidRPr="00280ED6" w:rsidRDefault="0082647A">
      <w:r w:rsidRPr="00280ED6">
        <w:t>The 4 As Test (Arousal, Attention, Abbreviated Mental Test 4, Acute change) is applicable as an assessment tool in older emergency department attendees.</w:t>
      </w:r>
    </w:p>
    <w:p w14:paraId="1EE73E10" w14:textId="2BA496CD" w:rsidR="0082647A" w:rsidRPr="00280ED6" w:rsidRDefault="0082647A">
      <w:r w:rsidRPr="00280ED6">
        <w:t>The 4AT tool should be used for identifying patients with probable delirium in the emergency department.</w:t>
      </w:r>
      <w:r w:rsidR="00DA0527" w:rsidRPr="00280ED6">
        <w:t xml:space="preserve"> (</w:t>
      </w:r>
      <w:r w:rsidR="006C7942">
        <w:t>See</w:t>
      </w:r>
      <w:r w:rsidR="00DA0527" w:rsidRPr="00280ED6">
        <w:t xml:space="preserve"> Appendix 1)</w:t>
      </w:r>
    </w:p>
    <w:p w14:paraId="75685668" w14:textId="57BE5063" w:rsidR="0082647A" w:rsidRPr="00280ED6" w:rsidRDefault="0082647A">
      <w:r w:rsidRPr="00280ED6">
        <w:t xml:space="preserve"> Where delirium is detected, the diagnosis of delirium should be clearly documented to aid transfers of care (</w:t>
      </w:r>
      <w:r w:rsidR="006C7942" w:rsidRPr="00280ED6">
        <w:t>e.g.,</w:t>
      </w:r>
      <w:r w:rsidRPr="00280ED6">
        <w:t xml:space="preserve"> handover notes, </w:t>
      </w:r>
      <w:r w:rsidR="006C7942" w:rsidRPr="00280ED6">
        <w:t>referral,</w:t>
      </w:r>
      <w:r w:rsidRPr="00280ED6">
        <w:t xml:space="preserve"> and discharge letters).</w:t>
      </w:r>
    </w:p>
    <w:p w14:paraId="24CFB247" w14:textId="77777777" w:rsidR="00410201" w:rsidRPr="00280ED6" w:rsidRDefault="00410201"/>
    <w:p w14:paraId="536F66D2" w14:textId="6CFAF24D" w:rsidR="00462F52" w:rsidRPr="00280ED6" w:rsidRDefault="00840914" w:rsidP="00280ED6">
      <w:pPr>
        <w:pStyle w:val="Heading1"/>
      </w:pPr>
      <w:bookmarkStart w:id="12" w:name="_Toc145489408"/>
      <w:bookmarkStart w:id="13" w:name="_Toc145489510"/>
      <w:bookmarkStart w:id="14" w:name="_Toc145490191"/>
      <w:r w:rsidRPr="00280ED6">
        <w:t xml:space="preserve">Non-pharmacological </w:t>
      </w:r>
      <w:r w:rsidR="00410201" w:rsidRPr="00280ED6">
        <w:t>M</w:t>
      </w:r>
      <w:r w:rsidRPr="00280ED6">
        <w:t>anagement</w:t>
      </w:r>
      <w:bookmarkEnd w:id="12"/>
      <w:bookmarkEnd w:id="13"/>
      <w:bookmarkEnd w:id="14"/>
    </w:p>
    <w:p w14:paraId="308A311E" w14:textId="68E27567" w:rsidR="00462F52" w:rsidRPr="00280ED6" w:rsidRDefault="00462F52">
      <w:r w:rsidRPr="00280ED6">
        <w:t xml:space="preserve">• First consider acute, life-threatening causes of delirium, including low oxygen level, low blood pressure, low glucose level, and drug intoxication or withdrawal. </w:t>
      </w:r>
    </w:p>
    <w:p w14:paraId="33B266AA" w14:textId="77777777" w:rsidR="00462F52" w:rsidRPr="00280ED6" w:rsidRDefault="00462F52">
      <w:r w:rsidRPr="00280ED6">
        <w:t>• Systematically identify and treat potential causes (medications, acute illness, etc), noting that multiple causes are common.</w:t>
      </w:r>
    </w:p>
    <w:p w14:paraId="0B35A520" w14:textId="77777777" w:rsidR="00462F52" w:rsidRPr="00280ED6" w:rsidRDefault="00462F52">
      <w:r w:rsidRPr="00280ED6">
        <w:t xml:space="preserve"> • Optimise physiology, management of concurrent conditions, environment (reduce noise), medications, and natural sleep, to promote brain recovery. </w:t>
      </w:r>
    </w:p>
    <w:p w14:paraId="0BD3AB85" w14:textId="47282CC8" w:rsidR="00462F52" w:rsidRPr="00280ED6" w:rsidRDefault="00462F52">
      <w:r w:rsidRPr="00280ED6">
        <w:t>• Specifically detect, assess causes of, and treat agitation and/or distress, using nonpharmacological means only if possible.</w:t>
      </w:r>
    </w:p>
    <w:p w14:paraId="6F4B1536" w14:textId="77777777" w:rsidR="00462F52" w:rsidRPr="00280ED6" w:rsidRDefault="00462F52">
      <w:r w:rsidRPr="00280ED6">
        <w:t xml:space="preserve">• Communicate the diagnosis to patients and carers, encourage involvement of carers, and provide ongoing engagement and support. </w:t>
      </w:r>
    </w:p>
    <w:p w14:paraId="0D49F256" w14:textId="77777777" w:rsidR="00462F52" w:rsidRPr="00280ED6" w:rsidRDefault="00462F52">
      <w:r w:rsidRPr="00280ED6">
        <w:t xml:space="preserve">• Aim to prevent complications of delirium such as immobility, falls, pressure sores, dehydration, malnourishment, isolation. </w:t>
      </w:r>
    </w:p>
    <w:p w14:paraId="6C38DFD6" w14:textId="32B98F1B" w:rsidR="00462F52" w:rsidRPr="00280ED6" w:rsidRDefault="00462F52">
      <w:r w:rsidRPr="00280ED6">
        <w:t>• Monitor for recovery and consider frailty team input if not recovering.</w:t>
      </w:r>
    </w:p>
    <w:p w14:paraId="44F6C3CF" w14:textId="5A23E693" w:rsidR="0082647A" w:rsidRPr="00280ED6" w:rsidRDefault="0082647A" w:rsidP="0082647A">
      <w:pPr>
        <w:spacing w:after="45" w:line="324" w:lineRule="atLeast"/>
        <w:rPr>
          <w:rFonts w:eastAsia="Times New Roman" w:cstheme="minorHAnsi"/>
          <w:b/>
          <w:bCs/>
          <w:sz w:val="24"/>
          <w:szCs w:val="24"/>
          <w:lang w:eastAsia="en-GB"/>
        </w:rPr>
      </w:pPr>
      <w:r w:rsidRPr="00280ED6">
        <w:rPr>
          <w:rFonts w:eastAsia="Times New Roman" w:cstheme="minorHAnsi"/>
          <w:b/>
          <w:bCs/>
          <w:sz w:val="24"/>
          <w:szCs w:val="24"/>
          <w:lang w:eastAsia="en-GB"/>
        </w:rPr>
        <w:t>Always try non-pharmacological management first.</w:t>
      </w:r>
    </w:p>
    <w:p w14:paraId="2E518413" w14:textId="77777777" w:rsidR="00410201" w:rsidRPr="00280ED6" w:rsidRDefault="00410201" w:rsidP="0082647A">
      <w:pPr>
        <w:spacing w:after="45" w:line="324" w:lineRule="atLeast"/>
        <w:rPr>
          <w:rFonts w:eastAsia="Times New Roman" w:cstheme="minorHAnsi"/>
          <w:b/>
          <w:bCs/>
          <w:sz w:val="24"/>
          <w:szCs w:val="24"/>
          <w:lang w:eastAsia="en-GB"/>
        </w:rPr>
      </w:pPr>
    </w:p>
    <w:p w14:paraId="49C2A315" w14:textId="77777777" w:rsidR="0082647A" w:rsidRPr="00280ED6" w:rsidRDefault="0082647A"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sz w:val="24"/>
          <w:szCs w:val="24"/>
          <w:lang w:eastAsia="en-GB"/>
        </w:rPr>
      </w:pPr>
      <w:r w:rsidRPr="00280ED6">
        <w:rPr>
          <w:rFonts w:eastAsia="Times New Roman" w:cstheme="minorHAnsi"/>
          <w:sz w:val="24"/>
          <w:szCs w:val="24"/>
          <w:lang w:eastAsia="en-GB"/>
        </w:rPr>
        <w:t>Talk calmly to the patient and try to find out what is making them agitated.</w:t>
      </w:r>
    </w:p>
    <w:p w14:paraId="4AF73006" w14:textId="3CC22407" w:rsidR="0082647A" w:rsidRPr="00280ED6" w:rsidRDefault="0082647A"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sz w:val="24"/>
          <w:szCs w:val="24"/>
          <w:lang w:eastAsia="en-GB"/>
        </w:rPr>
      </w:pPr>
      <w:r w:rsidRPr="00280ED6">
        <w:rPr>
          <w:rFonts w:eastAsia="Times New Roman" w:cstheme="minorHAnsi"/>
          <w:sz w:val="24"/>
          <w:szCs w:val="24"/>
          <w:lang w:eastAsia="en-GB"/>
        </w:rPr>
        <w:t>Nurse in a quiet well</w:t>
      </w:r>
      <w:r w:rsidR="00410201" w:rsidRPr="00280ED6">
        <w:rPr>
          <w:rFonts w:eastAsia="Times New Roman" w:cstheme="minorHAnsi"/>
          <w:sz w:val="24"/>
          <w:szCs w:val="24"/>
          <w:lang w:eastAsia="en-GB"/>
        </w:rPr>
        <w:t>-</w:t>
      </w:r>
      <w:r w:rsidRPr="00280ED6">
        <w:rPr>
          <w:rFonts w:eastAsia="Times New Roman" w:cstheme="minorHAnsi"/>
          <w:sz w:val="24"/>
          <w:szCs w:val="24"/>
          <w:lang w:eastAsia="en-GB"/>
        </w:rPr>
        <w:t>lit environment and orientate regularly.</w:t>
      </w:r>
    </w:p>
    <w:p w14:paraId="1246C3B2" w14:textId="63231225" w:rsidR="00462F52" w:rsidRPr="00280ED6" w:rsidRDefault="00462F52"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If patient is agitated / distressed, consider asking for additional staffing to help manage the patient.</w:t>
      </w:r>
    </w:p>
    <w:p w14:paraId="07FA3664" w14:textId="5CA1E0B0" w:rsidR="0082647A" w:rsidRPr="00280ED6" w:rsidRDefault="0082647A"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Ensure the patient is wearing their glasses or hearing aid if applicable.</w:t>
      </w:r>
    </w:p>
    <w:p w14:paraId="4935A996" w14:textId="62C28E49" w:rsidR="00462F52" w:rsidRPr="00280ED6" w:rsidRDefault="00462F52"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Use information from the 'getting to know me document' or 'what matters to me' boards at the bedside to help reassure the patient.</w:t>
      </w:r>
    </w:p>
    <w:p w14:paraId="2505567F" w14:textId="5BC76005" w:rsidR="0082647A" w:rsidRPr="00280ED6" w:rsidRDefault="0082647A"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Avoid crowding the patient and allow them to mobilise if safe to do so.</w:t>
      </w:r>
    </w:p>
    <w:p w14:paraId="0ABB9861" w14:textId="5CD96A53" w:rsidR="0082647A" w:rsidRPr="00280ED6" w:rsidRDefault="0082647A"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Ensure pain is optimally controlled.</w:t>
      </w:r>
    </w:p>
    <w:p w14:paraId="1BD0C9E5" w14:textId="537C0EC0" w:rsidR="00462F52" w:rsidRPr="00280ED6" w:rsidRDefault="00462F52"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Ensure patient’s temperature is regulated within normal limits.</w:t>
      </w:r>
    </w:p>
    <w:p w14:paraId="594EB883" w14:textId="689FD3CE" w:rsidR="00462F52" w:rsidRPr="00280ED6" w:rsidRDefault="00462F52"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Consider supplementary oxygen if patient’s saturations are below their normal range.</w:t>
      </w:r>
    </w:p>
    <w:p w14:paraId="6467CECC" w14:textId="486DA486" w:rsidR="0082647A" w:rsidRPr="00280ED6" w:rsidRDefault="0082647A"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C</w:t>
      </w:r>
      <w:r w:rsidR="00462F52" w:rsidRPr="00280ED6">
        <w:rPr>
          <w:rFonts w:eastAsia="Times New Roman" w:cstheme="minorHAnsi"/>
          <w:lang w:eastAsia="en-GB"/>
        </w:rPr>
        <w:t>onsider whether the patient needs to sleep.</w:t>
      </w:r>
    </w:p>
    <w:p w14:paraId="314D77BB" w14:textId="698D7E32" w:rsidR="00462F52" w:rsidRPr="00280ED6" w:rsidRDefault="00462F52"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Consider whether patient needs to go to the toilet.</w:t>
      </w:r>
    </w:p>
    <w:p w14:paraId="67B0C728" w14:textId="0EAE1BD0" w:rsidR="00462F52" w:rsidRPr="00280ED6" w:rsidRDefault="00462F52"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Ensure patient’s nutritional and hydration needs are being met.</w:t>
      </w:r>
    </w:p>
    <w:p w14:paraId="58D41A81" w14:textId="77777777" w:rsidR="0082647A" w:rsidRPr="00280ED6" w:rsidRDefault="0082647A"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Investigate and treat all identified causes of delirium using the TIME checklist as a guide.</w:t>
      </w:r>
    </w:p>
    <w:p w14:paraId="6D984CAE" w14:textId="77777777" w:rsidR="0082647A" w:rsidRPr="00280ED6" w:rsidRDefault="0082647A"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Consider asking a family member to help reassure and support care.</w:t>
      </w:r>
    </w:p>
    <w:p w14:paraId="06C295F1" w14:textId="7DA23FA2" w:rsidR="0082647A" w:rsidRPr="00280ED6" w:rsidRDefault="0082647A" w:rsidP="00410201">
      <w:pPr>
        <w:numPr>
          <w:ilvl w:val="0"/>
          <w:numId w:val="1"/>
        </w:numPr>
        <w:pBdr>
          <w:top w:val="single" w:sz="4" w:space="1" w:color="auto"/>
          <w:left w:val="single" w:sz="4" w:space="4" w:color="auto"/>
          <w:bottom w:val="single" w:sz="4" w:space="1" w:color="auto"/>
          <w:right w:val="single" w:sz="4" w:space="4" w:color="auto"/>
        </w:pBdr>
        <w:spacing w:before="45" w:after="45" w:line="324" w:lineRule="atLeast"/>
        <w:ind w:left="1095"/>
        <w:rPr>
          <w:rFonts w:eastAsia="Times New Roman" w:cstheme="minorHAnsi"/>
          <w:lang w:eastAsia="en-GB"/>
        </w:rPr>
      </w:pPr>
      <w:r w:rsidRPr="00280ED6">
        <w:rPr>
          <w:rFonts w:eastAsia="Times New Roman" w:cstheme="minorHAnsi"/>
          <w:lang w:eastAsia="en-GB"/>
        </w:rPr>
        <w:t>Avoid bed and ward moves wherever possible.</w:t>
      </w:r>
    </w:p>
    <w:p w14:paraId="207FA701" w14:textId="77777777" w:rsidR="0082647A" w:rsidRPr="00280ED6" w:rsidRDefault="0082647A"/>
    <w:p w14:paraId="71D7934D" w14:textId="77777777" w:rsidR="00EE7029" w:rsidRPr="00280ED6" w:rsidRDefault="00EE7029">
      <w:pPr>
        <w:rPr>
          <w:rFonts w:eastAsiaTheme="majorEastAsia" w:cstheme="majorBidi"/>
          <w:b/>
          <w:color w:val="000000" w:themeColor="text1"/>
          <w:sz w:val="24"/>
          <w:szCs w:val="26"/>
          <w:u w:val="single"/>
        </w:rPr>
      </w:pPr>
      <w:r w:rsidRPr="00280ED6">
        <w:br w:type="page"/>
      </w:r>
    </w:p>
    <w:p w14:paraId="7CE48550" w14:textId="682BC2A8" w:rsidR="00840914" w:rsidRPr="00280ED6" w:rsidRDefault="00840914" w:rsidP="00280ED6">
      <w:pPr>
        <w:pStyle w:val="Heading1"/>
      </w:pPr>
      <w:bookmarkStart w:id="15" w:name="_Toc145489409"/>
      <w:bookmarkStart w:id="16" w:name="_Toc145489511"/>
      <w:bookmarkStart w:id="17" w:name="_Toc145490192"/>
      <w:r w:rsidRPr="00280ED6">
        <w:lastRenderedPageBreak/>
        <w:t>Pharmacological management</w:t>
      </w:r>
      <w:bookmarkEnd w:id="15"/>
      <w:bookmarkEnd w:id="16"/>
      <w:bookmarkEnd w:id="17"/>
    </w:p>
    <w:p w14:paraId="0D9E47D8" w14:textId="64DEAD4D" w:rsidR="00462F52" w:rsidRPr="00280ED6" w:rsidRDefault="00462F52">
      <w:r w:rsidRPr="00280ED6">
        <w:t>All patients at risk of delirium should have a medication review conducted by an experienced healthcare professional.</w:t>
      </w:r>
    </w:p>
    <w:p w14:paraId="494E62CC" w14:textId="17D3A701" w:rsidR="00C66E7C" w:rsidRPr="00280ED6" w:rsidRDefault="00462F52" w:rsidP="00C66E7C">
      <w:r w:rsidRPr="00280ED6">
        <w:t>Pharmacological management should only be considered after a risk/benefit analysis.</w:t>
      </w:r>
    </w:p>
    <w:p w14:paraId="5F310306" w14:textId="0DD79EE8" w:rsidR="00C66E7C" w:rsidRPr="00280ED6" w:rsidRDefault="00C66E7C" w:rsidP="00C66E7C">
      <w:r w:rsidRPr="00280ED6">
        <w:t>Assess the risk – the risk of not doing so must be greater than the risk of acute pharmacological treatment</w:t>
      </w:r>
      <w:r w:rsidR="00462F52" w:rsidRPr="00280ED6">
        <w:t>.</w:t>
      </w:r>
    </w:p>
    <w:p w14:paraId="58CD1413" w14:textId="2BBBEAFE" w:rsidR="00C66E7C" w:rsidRPr="00280ED6" w:rsidRDefault="003F4E31">
      <w:r w:rsidRPr="00280ED6">
        <w:t xml:space="preserve">Consider patient’s medical and psychiatric history including previous response to tranquilisation or </w:t>
      </w:r>
      <w:r w:rsidR="004A158B" w:rsidRPr="00280ED6">
        <w:t>sedation.</w:t>
      </w:r>
    </w:p>
    <w:p w14:paraId="4EDFC49C" w14:textId="77777777" w:rsidR="00410201" w:rsidRPr="00280ED6" w:rsidRDefault="00410201">
      <w:pPr>
        <w:rPr>
          <w:b/>
          <w:bCs/>
          <w:sz w:val="24"/>
          <w:szCs w:val="24"/>
        </w:rPr>
      </w:pPr>
    </w:p>
    <w:p w14:paraId="09067124" w14:textId="44641754" w:rsidR="003F4E31" w:rsidRPr="00280ED6" w:rsidRDefault="003F4E31">
      <w:pPr>
        <w:rPr>
          <w:b/>
          <w:bCs/>
        </w:rPr>
      </w:pPr>
      <w:r w:rsidRPr="00280ED6">
        <w:rPr>
          <w:b/>
          <w:bCs/>
          <w:sz w:val="24"/>
          <w:szCs w:val="24"/>
        </w:rPr>
        <w:t>If the patient’s symptoms threaten their safety or the safety of others, then consider the use of pharmacological management</w:t>
      </w:r>
      <w:r w:rsidRPr="00280ED6">
        <w:rPr>
          <w:b/>
          <w:bCs/>
        </w:rPr>
        <w:t>.</w:t>
      </w:r>
    </w:p>
    <w:p w14:paraId="19DCAB0A" w14:textId="3CA97959" w:rsidR="003F4E31" w:rsidRPr="00280ED6" w:rsidRDefault="003F4E31">
      <w:r w:rsidRPr="00280ED6">
        <w:t>Use a single drug at the lowest possible dose (start low and go slow)</w:t>
      </w:r>
    </w:p>
    <w:p w14:paraId="5C7C634E" w14:textId="01AB16D5" w:rsidR="00C66E7C" w:rsidRPr="00280ED6" w:rsidRDefault="00462F52">
      <w:r w:rsidRPr="00280ED6">
        <w:t>The o</w:t>
      </w:r>
      <w:r w:rsidR="00C66E7C" w:rsidRPr="00280ED6">
        <w:t xml:space="preserve">ral </w:t>
      </w:r>
      <w:r w:rsidRPr="00280ED6">
        <w:t xml:space="preserve">route should always be used </w:t>
      </w:r>
      <w:r w:rsidR="00C66E7C" w:rsidRPr="00280ED6">
        <w:t>before IM</w:t>
      </w:r>
      <w:r w:rsidRPr="00280ED6">
        <w:t xml:space="preserve"> administration</w:t>
      </w:r>
      <w:r w:rsidR="00C66E7C" w:rsidRPr="00280ED6">
        <w:t xml:space="preserve"> where practical</w:t>
      </w:r>
      <w:r w:rsidR="003F4E31" w:rsidRPr="00280ED6">
        <w:t>.</w:t>
      </w:r>
    </w:p>
    <w:p w14:paraId="7F592DE1" w14:textId="5F404421" w:rsidR="00C66E7C" w:rsidRPr="00280ED6" w:rsidRDefault="00C66E7C">
      <w:r w:rsidRPr="00280ED6">
        <w:t xml:space="preserve">Write up as a single (stat) dose and do not repeat until effect has been </w:t>
      </w:r>
      <w:r w:rsidR="004A158B" w:rsidRPr="00280ED6">
        <w:t>assessed.</w:t>
      </w:r>
    </w:p>
    <w:p w14:paraId="1EEAD57D" w14:textId="78106320" w:rsidR="00C66E7C" w:rsidRPr="00280ED6" w:rsidRDefault="00C66E7C">
      <w:r w:rsidRPr="00280ED6">
        <w:t xml:space="preserve">Patient must be situated in an appropriate clinical space and regular observations should be carried out following administration of medication. Facilities for resuscitation must be available </w:t>
      </w:r>
      <w:r w:rsidR="00352A4C" w:rsidRPr="00280ED6">
        <w:t xml:space="preserve">in case the patient </w:t>
      </w:r>
      <w:r w:rsidR="004A158B" w:rsidRPr="00280ED6">
        <w:t>deteriorates.</w:t>
      </w:r>
    </w:p>
    <w:p w14:paraId="790EC93D" w14:textId="66933387" w:rsidR="00352A4C" w:rsidRPr="00280ED6" w:rsidRDefault="00352A4C">
      <w:r w:rsidRPr="00280ED6">
        <w:t xml:space="preserve">A supply of flumazenil should be available to reverse respiratory depression or reduced consciousness following administration of </w:t>
      </w:r>
      <w:r w:rsidR="004A158B" w:rsidRPr="00280ED6">
        <w:t>benzodiazepines.</w:t>
      </w:r>
    </w:p>
    <w:p w14:paraId="0CA2784D" w14:textId="493487DB" w:rsidR="00352A4C" w:rsidRPr="00280ED6" w:rsidRDefault="00352A4C">
      <w:r w:rsidRPr="00280ED6">
        <w:t xml:space="preserve">A supply of procyclidine should be available to treat acute dystonic/extrapyramidal reaction following administration of antipsychotic </w:t>
      </w:r>
      <w:r w:rsidR="004A158B" w:rsidRPr="00280ED6">
        <w:t>drugs.</w:t>
      </w:r>
    </w:p>
    <w:p w14:paraId="3D046657" w14:textId="460B890F" w:rsidR="00C66E7C" w:rsidRPr="00280ED6" w:rsidRDefault="00F111ED" w:rsidP="00280ED6">
      <w:pPr>
        <w:pStyle w:val="Heading2"/>
        <w:rPr>
          <w:b w:val="0"/>
        </w:rPr>
      </w:pPr>
      <w:bookmarkStart w:id="18" w:name="_Toc145489410"/>
      <w:bookmarkStart w:id="19" w:name="_Toc145489512"/>
      <w:bookmarkStart w:id="20" w:name="_Toc145490193"/>
      <w:r w:rsidRPr="00280ED6">
        <w:t>Drugs and doses</w:t>
      </w:r>
      <w:bookmarkEnd w:id="18"/>
      <w:bookmarkEnd w:id="19"/>
      <w:bookmarkEnd w:id="20"/>
    </w:p>
    <w:p w14:paraId="4395D5F9" w14:textId="5A627E91" w:rsidR="00F111ED" w:rsidRPr="00280ED6" w:rsidRDefault="00F111ED" w:rsidP="00410201">
      <w:pPr>
        <w:pBdr>
          <w:top w:val="single" w:sz="4" w:space="1" w:color="auto"/>
          <w:left w:val="single" w:sz="4" w:space="4" w:color="auto"/>
          <w:bottom w:val="single" w:sz="4" w:space="1" w:color="auto"/>
          <w:right w:val="single" w:sz="4" w:space="4" w:color="auto"/>
        </w:pBdr>
        <w:rPr>
          <w:b/>
          <w:bCs/>
        </w:rPr>
      </w:pPr>
      <w:r w:rsidRPr="00280ED6">
        <w:rPr>
          <w:b/>
          <w:bCs/>
        </w:rPr>
        <w:t>First line</w:t>
      </w:r>
    </w:p>
    <w:p w14:paraId="0F9E623C" w14:textId="66E68770" w:rsidR="00F111ED" w:rsidRPr="00280ED6" w:rsidRDefault="00F111ED" w:rsidP="00410201">
      <w:pPr>
        <w:pBdr>
          <w:top w:val="single" w:sz="4" w:space="1" w:color="auto"/>
          <w:left w:val="single" w:sz="4" w:space="4" w:color="auto"/>
          <w:bottom w:val="single" w:sz="4" w:space="1" w:color="auto"/>
          <w:right w:val="single" w:sz="4" w:space="4" w:color="auto"/>
        </w:pBdr>
        <w:rPr>
          <w:b/>
          <w:bCs/>
        </w:rPr>
      </w:pPr>
      <w:r w:rsidRPr="00280ED6">
        <w:rPr>
          <w:b/>
          <w:bCs/>
        </w:rPr>
        <w:t>Haloperidol 0.5-1mg orally (max 2mg in 24 hours)</w:t>
      </w:r>
    </w:p>
    <w:p w14:paraId="34E6AFB3" w14:textId="2C9B0991" w:rsidR="00F111ED" w:rsidRPr="00280ED6" w:rsidRDefault="00F111ED" w:rsidP="00410201">
      <w:pPr>
        <w:pBdr>
          <w:top w:val="single" w:sz="4" w:space="1" w:color="auto"/>
          <w:left w:val="single" w:sz="4" w:space="4" w:color="auto"/>
          <w:bottom w:val="single" w:sz="4" w:space="1" w:color="auto"/>
          <w:right w:val="single" w:sz="4" w:space="4" w:color="auto"/>
        </w:pBdr>
        <w:rPr>
          <w:b/>
          <w:bCs/>
        </w:rPr>
      </w:pPr>
      <w:r w:rsidRPr="00280ED6">
        <w:rPr>
          <w:b/>
          <w:bCs/>
        </w:rPr>
        <w:t>Haloperidol 0.5mg by IM injection (max 2mg in 24 hours)</w:t>
      </w:r>
    </w:p>
    <w:p w14:paraId="52CAD505" w14:textId="7022CBE4" w:rsidR="00F111ED" w:rsidRPr="00280ED6" w:rsidRDefault="00F111ED" w:rsidP="00410201">
      <w:pPr>
        <w:pBdr>
          <w:top w:val="single" w:sz="4" w:space="1" w:color="auto"/>
          <w:left w:val="single" w:sz="4" w:space="4" w:color="auto"/>
          <w:bottom w:val="single" w:sz="4" w:space="1" w:color="auto"/>
          <w:right w:val="single" w:sz="4" w:space="4" w:color="auto"/>
        </w:pBdr>
      </w:pPr>
      <w:r w:rsidRPr="00280ED6">
        <w:t>Do not use haloperidol in patients with a diagnosis (or clinical signs) of Parkinson’s disease or Lewy body dementia.</w:t>
      </w:r>
    </w:p>
    <w:p w14:paraId="01F4CF0F" w14:textId="17DCE22B" w:rsidR="00F111ED" w:rsidRPr="00280ED6" w:rsidRDefault="00F111ED" w:rsidP="00410201">
      <w:pPr>
        <w:pBdr>
          <w:top w:val="single" w:sz="4" w:space="1" w:color="auto"/>
          <w:left w:val="single" w:sz="4" w:space="4" w:color="auto"/>
          <w:bottom w:val="single" w:sz="4" w:space="1" w:color="auto"/>
          <w:right w:val="single" w:sz="4" w:space="4" w:color="auto"/>
        </w:pBdr>
      </w:pPr>
      <w:r w:rsidRPr="00280ED6">
        <w:t>The use of haloperidol in patients who are already taking one or more drugs that prolong the cardiac QT interval is unlicensed and the decision to prescribe should be taken by a competent clinician who has balanced the benefits of treatment against the risks. Normally this should be the most senior clinician in the Emergency Department.</w:t>
      </w:r>
    </w:p>
    <w:p w14:paraId="0FDD4432" w14:textId="368DEAF6" w:rsidR="00F111ED" w:rsidRPr="00280ED6" w:rsidRDefault="00F111ED" w:rsidP="00410201">
      <w:pPr>
        <w:pBdr>
          <w:top w:val="single" w:sz="4" w:space="1" w:color="auto"/>
          <w:left w:val="single" w:sz="4" w:space="4" w:color="auto"/>
          <w:bottom w:val="single" w:sz="4" w:space="1" w:color="auto"/>
          <w:right w:val="single" w:sz="4" w:space="4" w:color="auto"/>
        </w:pBdr>
      </w:pPr>
    </w:p>
    <w:p w14:paraId="7D7BAD10" w14:textId="7FC56B88" w:rsidR="00F111ED" w:rsidRPr="00280ED6" w:rsidRDefault="00F111ED" w:rsidP="00410201">
      <w:pPr>
        <w:pBdr>
          <w:top w:val="single" w:sz="4" w:space="1" w:color="auto"/>
          <w:left w:val="single" w:sz="4" w:space="4" w:color="auto"/>
          <w:bottom w:val="single" w:sz="4" w:space="1" w:color="auto"/>
          <w:right w:val="single" w:sz="4" w:space="4" w:color="auto"/>
        </w:pBdr>
        <w:rPr>
          <w:b/>
          <w:bCs/>
        </w:rPr>
      </w:pPr>
      <w:r w:rsidRPr="00280ED6">
        <w:rPr>
          <w:b/>
          <w:bCs/>
        </w:rPr>
        <w:t>Second Line</w:t>
      </w:r>
    </w:p>
    <w:p w14:paraId="53BB40FB" w14:textId="70B820E5" w:rsidR="00F111ED" w:rsidRPr="00280ED6" w:rsidRDefault="00F111ED" w:rsidP="00410201">
      <w:pPr>
        <w:pBdr>
          <w:top w:val="single" w:sz="4" w:space="1" w:color="auto"/>
          <w:left w:val="single" w:sz="4" w:space="4" w:color="auto"/>
          <w:bottom w:val="single" w:sz="4" w:space="1" w:color="auto"/>
          <w:right w:val="single" w:sz="4" w:space="4" w:color="auto"/>
        </w:pBdr>
      </w:pPr>
      <w:r w:rsidRPr="00280ED6">
        <w:t>If haloperidol is contra-</w:t>
      </w:r>
      <w:proofErr w:type="gramStart"/>
      <w:r w:rsidRPr="00280ED6">
        <w:t>indicated</w:t>
      </w:r>
      <w:proofErr w:type="gramEnd"/>
      <w:r w:rsidRPr="00280ED6">
        <w:t xml:space="preserve"> then the second line treatment is risperidone.</w:t>
      </w:r>
    </w:p>
    <w:p w14:paraId="29DAF08E" w14:textId="6785570E" w:rsidR="00F111ED" w:rsidRPr="00280ED6" w:rsidRDefault="00F111ED" w:rsidP="00410201">
      <w:pPr>
        <w:pBdr>
          <w:top w:val="single" w:sz="4" w:space="1" w:color="auto"/>
          <w:left w:val="single" w:sz="4" w:space="4" w:color="auto"/>
          <w:bottom w:val="single" w:sz="4" w:space="1" w:color="auto"/>
          <w:right w:val="single" w:sz="4" w:space="4" w:color="auto"/>
        </w:pBdr>
        <w:rPr>
          <w:b/>
          <w:bCs/>
        </w:rPr>
      </w:pPr>
      <w:r w:rsidRPr="00280ED6">
        <w:rPr>
          <w:b/>
          <w:bCs/>
        </w:rPr>
        <w:t>Risperidone 0.25mg orally (max 1mg in 24 hours)</w:t>
      </w:r>
    </w:p>
    <w:p w14:paraId="0169A47C" w14:textId="6623B544" w:rsidR="00F111ED" w:rsidRPr="00280ED6" w:rsidRDefault="00F111ED" w:rsidP="00410201">
      <w:pPr>
        <w:pBdr>
          <w:top w:val="single" w:sz="4" w:space="1" w:color="auto"/>
          <w:left w:val="single" w:sz="4" w:space="4" w:color="auto"/>
          <w:bottom w:val="single" w:sz="4" w:space="1" w:color="auto"/>
          <w:right w:val="single" w:sz="4" w:space="4" w:color="auto"/>
        </w:pBdr>
        <w:rPr>
          <w:b/>
          <w:bCs/>
        </w:rPr>
      </w:pPr>
      <w:r w:rsidRPr="00280ED6">
        <w:lastRenderedPageBreak/>
        <w:br/>
      </w:r>
      <w:r w:rsidRPr="00280ED6">
        <w:rPr>
          <w:b/>
          <w:bCs/>
        </w:rPr>
        <w:t>Third Line</w:t>
      </w:r>
    </w:p>
    <w:p w14:paraId="02EDEE63" w14:textId="3239F468" w:rsidR="00F111ED" w:rsidRPr="00280ED6" w:rsidRDefault="00F111ED" w:rsidP="00410201">
      <w:pPr>
        <w:pBdr>
          <w:top w:val="single" w:sz="4" w:space="1" w:color="auto"/>
          <w:left w:val="single" w:sz="4" w:space="4" w:color="auto"/>
          <w:bottom w:val="single" w:sz="4" w:space="1" w:color="auto"/>
          <w:right w:val="single" w:sz="4" w:space="4" w:color="auto"/>
        </w:pBdr>
      </w:pPr>
      <w:r w:rsidRPr="00280ED6">
        <w:t>If antipsychotic drugs are contra-</w:t>
      </w:r>
      <w:proofErr w:type="gramStart"/>
      <w:r w:rsidRPr="00280ED6">
        <w:t>indicated</w:t>
      </w:r>
      <w:proofErr w:type="gramEnd"/>
      <w:r w:rsidRPr="00280ED6">
        <w:t xml:space="preserve"> then a small dose of lorazepam should be considered.</w:t>
      </w:r>
    </w:p>
    <w:p w14:paraId="7461FC64" w14:textId="6AD7CD38" w:rsidR="00F111ED" w:rsidRPr="00280ED6" w:rsidRDefault="00F111ED" w:rsidP="00410201">
      <w:pPr>
        <w:pBdr>
          <w:top w:val="single" w:sz="4" w:space="1" w:color="auto"/>
          <w:left w:val="single" w:sz="4" w:space="4" w:color="auto"/>
          <w:bottom w:val="single" w:sz="4" w:space="1" w:color="auto"/>
          <w:right w:val="single" w:sz="4" w:space="4" w:color="auto"/>
        </w:pBdr>
        <w:rPr>
          <w:b/>
          <w:bCs/>
        </w:rPr>
      </w:pPr>
      <w:r w:rsidRPr="00280ED6">
        <w:rPr>
          <w:b/>
          <w:bCs/>
        </w:rPr>
        <w:t>Lorazepam 0.5-1mg orally (max 2mg in 24 hours)</w:t>
      </w:r>
    </w:p>
    <w:p w14:paraId="73E8C0FF" w14:textId="02204C75" w:rsidR="00F111ED" w:rsidRPr="00280ED6" w:rsidRDefault="00F111ED" w:rsidP="00410201">
      <w:pPr>
        <w:pBdr>
          <w:top w:val="single" w:sz="4" w:space="1" w:color="auto"/>
          <w:left w:val="single" w:sz="4" w:space="4" w:color="auto"/>
          <w:bottom w:val="single" w:sz="4" w:space="1" w:color="auto"/>
          <w:right w:val="single" w:sz="4" w:space="4" w:color="auto"/>
        </w:pBdr>
        <w:rPr>
          <w:b/>
          <w:bCs/>
        </w:rPr>
      </w:pPr>
      <w:r w:rsidRPr="00280ED6">
        <w:rPr>
          <w:b/>
          <w:bCs/>
        </w:rPr>
        <w:t>Lorazepam 2.5mg by IM injection (max 7.5mg in 24 hours)</w:t>
      </w:r>
    </w:p>
    <w:p w14:paraId="6DCE53DF" w14:textId="69CFD307" w:rsidR="00D56925" w:rsidRPr="00280ED6" w:rsidRDefault="00D56925"/>
    <w:p w14:paraId="0C664381" w14:textId="47A4A764" w:rsidR="00DA0527" w:rsidRPr="00280ED6" w:rsidRDefault="00D56925" w:rsidP="00280ED6">
      <w:pPr>
        <w:pStyle w:val="Heading2"/>
      </w:pPr>
      <w:bookmarkStart w:id="21" w:name="_Toc145489411"/>
      <w:bookmarkStart w:id="22" w:name="_Toc145489513"/>
      <w:bookmarkStart w:id="23" w:name="_Toc145490194"/>
      <w:r w:rsidRPr="00280ED6">
        <w:t>Use of intravenous medication</w:t>
      </w:r>
      <w:bookmarkEnd w:id="21"/>
      <w:bookmarkEnd w:id="22"/>
      <w:bookmarkEnd w:id="23"/>
    </w:p>
    <w:p w14:paraId="00E4A502" w14:textId="7FA61DD1" w:rsidR="00D56925" w:rsidRPr="00280ED6" w:rsidRDefault="00D56925">
      <w:r w:rsidRPr="00280ED6">
        <w:t>It may be considered necessary in some situations to administer sedatives via the intravenous route.</w:t>
      </w:r>
    </w:p>
    <w:p w14:paraId="0EABCD0C" w14:textId="02D08BE6" w:rsidR="00D56925" w:rsidRPr="00280ED6" w:rsidRDefault="00D56925">
      <w:r w:rsidRPr="00280ED6">
        <w:t>This decision should be made by the most senior clinician in the Emergency Department at the time. Rationale for the decision should be documented, along with doses used and a plan for monitoring post-sedation.</w:t>
      </w:r>
    </w:p>
    <w:p w14:paraId="5B4559B8" w14:textId="26391CF8" w:rsidR="00D56925" w:rsidRPr="00280ED6" w:rsidRDefault="00D56925">
      <w:pPr>
        <w:rPr>
          <w:b/>
          <w:bCs/>
        </w:rPr>
      </w:pPr>
      <w:r w:rsidRPr="00280ED6">
        <w:rPr>
          <w:b/>
          <w:bCs/>
        </w:rPr>
        <w:t>The basic principles are the same:</w:t>
      </w:r>
    </w:p>
    <w:p w14:paraId="5991D706" w14:textId="151CF932" w:rsidR="00D56925" w:rsidRPr="00280ED6" w:rsidRDefault="00D56925">
      <w:r w:rsidRPr="00280ED6">
        <w:t>Use the lowest practicable dose initially and monitor for effect. Do not repeat dose until effect has been assessed.</w:t>
      </w:r>
    </w:p>
    <w:p w14:paraId="7D2ECD98" w14:textId="77777777" w:rsidR="00D56925" w:rsidRPr="00280ED6" w:rsidRDefault="00D56925" w:rsidP="00D56925">
      <w:r w:rsidRPr="00280ED6">
        <w:t xml:space="preserve">Patient must be situated in an appropriate clinical space and regular observations should be carried out following administration of medication. Facilities for resuscitation must be available in case the patient </w:t>
      </w:r>
      <w:proofErr w:type="gramStart"/>
      <w:r w:rsidRPr="00280ED6">
        <w:t>deteriorates</w:t>
      </w:r>
      <w:proofErr w:type="gramEnd"/>
    </w:p>
    <w:p w14:paraId="0792442C" w14:textId="77777777" w:rsidR="00D56925" w:rsidRPr="00280ED6" w:rsidRDefault="00D56925" w:rsidP="00D56925">
      <w:r w:rsidRPr="00280ED6">
        <w:t xml:space="preserve">A supply of flumazenil should be available to reverse respiratory depression or reduced consciousness following administration of </w:t>
      </w:r>
      <w:proofErr w:type="gramStart"/>
      <w:r w:rsidRPr="00280ED6">
        <w:t>benzodiazepines</w:t>
      </w:r>
      <w:proofErr w:type="gramEnd"/>
    </w:p>
    <w:p w14:paraId="114DFA85" w14:textId="77777777" w:rsidR="00D56925" w:rsidRPr="00280ED6" w:rsidRDefault="00D56925" w:rsidP="00D56925">
      <w:r w:rsidRPr="00280ED6">
        <w:t xml:space="preserve">A supply of procyclidine should be available to treat acute dystonic/extrapyramidal reaction following administration of antipsychotic </w:t>
      </w:r>
      <w:proofErr w:type="gramStart"/>
      <w:r w:rsidRPr="00280ED6">
        <w:t>drugs</w:t>
      </w:r>
      <w:proofErr w:type="gramEnd"/>
    </w:p>
    <w:p w14:paraId="30780630" w14:textId="32A8922E" w:rsidR="00D56925" w:rsidRPr="00280ED6" w:rsidRDefault="00D56925" w:rsidP="00D56925">
      <w:pPr>
        <w:pBdr>
          <w:top w:val="single" w:sz="4" w:space="1" w:color="auto"/>
          <w:left w:val="single" w:sz="4" w:space="4" w:color="auto"/>
          <w:bottom w:val="single" w:sz="4" w:space="1" w:color="auto"/>
          <w:right w:val="single" w:sz="4" w:space="4" w:color="auto"/>
        </w:pBdr>
        <w:rPr>
          <w:b/>
          <w:bCs/>
        </w:rPr>
      </w:pPr>
      <w:r w:rsidRPr="00280ED6">
        <w:rPr>
          <w:b/>
          <w:bCs/>
        </w:rPr>
        <w:t>First line</w:t>
      </w:r>
    </w:p>
    <w:p w14:paraId="06A106AB" w14:textId="5D8CD482" w:rsidR="00D56925" w:rsidRPr="00280ED6" w:rsidRDefault="00D56925" w:rsidP="00D56925">
      <w:pPr>
        <w:pBdr>
          <w:top w:val="single" w:sz="4" w:space="1" w:color="auto"/>
          <w:left w:val="single" w:sz="4" w:space="4" w:color="auto"/>
          <w:bottom w:val="single" w:sz="4" w:space="1" w:color="auto"/>
          <w:right w:val="single" w:sz="4" w:space="4" w:color="auto"/>
        </w:pBdr>
        <w:rPr>
          <w:b/>
          <w:bCs/>
        </w:rPr>
      </w:pPr>
      <w:r w:rsidRPr="00280ED6">
        <w:rPr>
          <w:b/>
          <w:bCs/>
        </w:rPr>
        <w:t>Lorazepam 0.5mg IV and then can be titrated to effect in 0.5mg increments.</w:t>
      </w:r>
    </w:p>
    <w:p w14:paraId="5EDB37CD" w14:textId="435A1733" w:rsidR="00D56925" w:rsidRPr="00280ED6" w:rsidRDefault="00D56925" w:rsidP="00D56925">
      <w:pPr>
        <w:pBdr>
          <w:top w:val="single" w:sz="4" w:space="1" w:color="auto"/>
          <w:left w:val="single" w:sz="4" w:space="4" w:color="auto"/>
          <w:bottom w:val="single" w:sz="4" w:space="1" w:color="auto"/>
          <w:right w:val="single" w:sz="4" w:space="4" w:color="auto"/>
        </w:pBdr>
      </w:pPr>
      <w:r w:rsidRPr="00280ED6">
        <w:t>Onset of action should be expected within approximately 15 minutes and peak effect about one hour after administration (based on expected peak plasma concentration).</w:t>
      </w:r>
    </w:p>
    <w:p w14:paraId="7AFE7439" w14:textId="77777777" w:rsidR="00D56925" w:rsidRPr="00280ED6" w:rsidRDefault="00D56925"/>
    <w:p w14:paraId="5322B967" w14:textId="4E2F011D" w:rsidR="00C66E7C" w:rsidRPr="00280ED6" w:rsidRDefault="003F4E31">
      <w:r w:rsidRPr="00280ED6">
        <w:t xml:space="preserve">Diagnosis of acute agitation or delirium should be documented in the patient’s notes along with any drugs prescribed, the doses </w:t>
      </w:r>
      <w:r w:rsidR="00EE7029" w:rsidRPr="00280ED6">
        <w:t>used,</w:t>
      </w:r>
      <w:r w:rsidRPr="00280ED6">
        <w:t xml:space="preserve"> and the time given. These details should be verbally handed over at the point of admission to another ward.</w:t>
      </w:r>
    </w:p>
    <w:p w14:paraId="29B8063D" w14:textId="1F5EF988" w:rsidR="00F111ED" w:rsidRPr="00280ED6" w:rsidRDefault="00F111ED">
      <w:r w:rsidRPr="00280ED6">
        <w:t>It is vital that the clinicians responsible for the patient’s ongoing care know what was given, and when.</w:t>
      </w:r>
    </w:p>
    <w:p w14:paraId="31083800" w14:textId="7C3A3C11" w:rsidR="00D56925" w:rsidRPr="00280ED6" w:rsidRDefault="004772AB">
      <w:r w:rsidRPr="00280ED6">
        <w:t>Delirium</w:t>
      </w:r>
      <w:r w:rsidR="00F111ED" w:rsidRPr="00280ED6">
        <w:t xml:space="preserve"> may last for days, weeks or months so it is important to communicate this diagnosis at the point of admission.</w:t>
      </w:r>
    </w:p>
    <w:p w14:paraId="448D702E" w14:textId="4AF4EBD5" w:rsidR="003F4E31" w:rsidRPr="00280ED6" w:rsidRDefault="003F4E31" w:rsidP="00280ED6">
      <w:pPr>
        <w:pStyle w:val="Heading1"/>
      </w:pPr>
      <w:r w:rsidRPr="00280ED6">
        <w:lastRenderedPageBreak/>
        <w:br/>
      </w:r>
      <w:bookmarkStart w:id="24" w:name="_Toc145489412"/>
      <w:bookmarkStart w:id="25" w:name="_Toc145489514"/>
      <w:bookmarkStart w:id="26" w:name="_Toc145490195"/>
      <w:r w:rsidRPr="00280ED6">
        <w:t>Capacity</w:t>
      </w:r>
      <w:bookmarkEnd w:id="24"/>
      <w:bookmarkEnd w:id="25"/>
      <w:bookmarkEnd w:id="26"/>
    </w:p>
    <w:p w14:paraId="12166922" w14:textId="655C52D7" w:rsidR="003F4E31" w:rsidRPr="00280ED6" w:rsidRDefault="003F4E31">
      <w:r w:rsidRPr="00280ED6">
        <w:t>Patients with delirium would not normally be held to retain capacity to make decisions about their medical treatment.</w:t>
      </w:r>
    </w:p>
    <w:p w14:paraId="21DC3585" w14:textId="581D4596" w:rsidR="00C66E7C" w:rsidRPr="00280ED6" w:rsidRDefault="00C66E7C">
      <w:r w:rsidRPr="00280ED6">
        <w:t xml:space="preserve">Consider patient’s capacity and whether they can be treated under </w:t>
      </w:r>
      <w:r w:rsidR="00DA0527" w:rsidRPr="00280ED6">
        <w:t xml:space="preserve">Common Law, </w:t>
      </w:r>
      <w:r w:rsidRPr="00280ED6">
        <w:t>A</w:t>
      </w:r>
      <w:r w:rsidR="00DA0527" w:rsidRPr="00280ED6">
        <w:t>dults with Incapacity (Scotland) Act 2000</w:t>
      </w:r>
      <w:r w:rsidRPr="00280ED6">
        <w:t xml:space="preserve">I or </w:t>
      </w:r>
      <w:r w:rsidR="00DA0527" w:rsidRPr="00280ED6">
        <w:t>Mental Health (Care and Treatment) (Scotland) Act 2003</w:t>
      </w:r>
    </w:p>
    <w:p w14:paraId="1767613A" w14:textId="56D3216F" w:rsidR="003F4E31" w:rsidRPr="00280ED6" w:rsidRDefault="003F4E31">
      <w:r w:rsidRPr="00280ED6">
        <w:t>Common law allows for the administration of drugs in the context of acute agitation.</w:t>
      </w:r>
    </w:p>
    <w:p w14:paraId="7CB691E3" w14:textId="6EE54299" w:rsidR="003F4E31" w:rsidRPr="00280ED6" w:rsidRDefault="003F4E31">
      <w:r w:rsidRPr="00280ED6">
        <w:t xml:space="preserve">If the </w:t>
      </w:r>
      <w:proofErr w:type="gramStart"/>
      <w:r w:rsidRPr="00280ED6">
        <w:t>patient</w:t>
      </w:r>
      <w:proofErr w:type="gramEnd"/>
      <w:r w:rsidRPr="00280ED6">
        <w:t xml:space="preserve"> simply lacks capacity (either acutely or chronically) then the Adults with Incapacity</w:t>
      </w:r>
      <w:r w:rsidR="00C71EB1" w:rsidRPr="00280ED6">
        <w:t xml:space="preserve"> (Scotland)</w:t>
      </w:r>
      <w:r w:rsidRPr="00280ED6">
        <w:t xml:space="preserve"> Act</w:t>
      </w:r>
      <w:r w:rsidR="00C71EB1" w:rsidRPr="00280ED6">
        <w:t xml:space="preserve"> 2000</w:t>
      </w:r>
      <w:r w:rsidRPr="00280ED6">
        <w:t xml:space="preserve"> (AWI) is the most appropriate </w:t>
      </w:r>
      <w:r w:rsidR="00C71EB1" w:rsidRPr="00280ED6">
        <w:t>legislation to use.</w:t>
      </w:r>
    </w:p>
    <w:p w14:paraId="6C38E84E" w14:textId="69238C71" w:rsidR="00DA0527" w:rsidRPr="00280ED6" w:rsidRDefault="00DA0527">
      <w:r w:rsidRPr="00280ED6">
        <w:t>If a patient has de facto been detained (</w:t>
      </w:r>
      <w:proofErr w:type="gramStart"/>
      <w:r w:rsidR="004A158B" w:rsidRPr="00280ED6">
        <w:t>i.e.</w:t>
      </w:r>
      <w:proofErr w:type="gramEnd"/>
      <w:r w:rsidRPr="00280ED6">
        <w:t xml:space="preserve"> they have been stopped from leaving the hospital, they have been restrained or they have been given IM medication to stop them leaving, harming themselves or harming others) then this should be formalized and documented under the Mental Health (Care and Treatment) (Scotland) Act 2003. An Emergency Detention Certificate should be completed. </w:t>
      </w:r>
    </w:p>
    <w:p w14:paraId="71686529" w14:textId="291CC716" w:rsidR="00C66E7C" w:rsidRPr="00280ED6" w:rsidRDefault="00C66E7C">
      <w:r w:rsidRPr="00280ED6">
        <w:t>Consider advance statement – do they have a welfare guardian</w:t>
      </w:r>
      <w:r w:rsidR="00CB291C" w:rsidRPr="00280ED6">
        <w:t xml:space="preserve"> or has someone been appointed power of attorney? If </w:t>
      </w:r>
      <w:r w:rsidR="004A158B" w:rsidRPr="00280ED6">
        <w:t>so,</w:t>
      </w:r>
      <w:r w:rsidR="00CB291C" w:rsidRPr="00280ED6">
        <w:t xml:space="preserve"> these people should be involved in discussions regarding the patient’s care.</w:t>
      </w:r>
    </w:p>
    <w:p w14:paraId="3A343F64" w14:textId="23324137" w:rsidR="00410201" w:rsidRPr="00280ED6" w:rsidRDefault="00410201">
      <w:r w:rsidRPr="00280ED6">
        <w:t>Patient capacity or lack thereof should be documented in the patient’s notes and communicated at handover to aid ongoing care.</w:t>
      </w:r>
    </w:p>
    <w:p w14:paraId="050233FF" w14:textId="40917F20" w:rsidR="005C034B" w:rsidRPr="00280ED6" w:rsidRDefault="005C034B"/>
    <w:p w14:paraId="28C6BF06" w14:textId="2555EF0C" w:rsidR="005C034B" w:rsidRPr="00280ED6" w:rsidRDefault="00DA0527" w:rsidP="00280ED6">
      <w:pPr>
        <w:pStyle w:val="Heading1"/>
      </w:pPr>
      <w:bookmarkStart w:id="27" w:name="_Toc145489413"/>
      <w:bookmarkStart w:id="28" w:name="_Toc145489515"/>
      <w:bookmarkStart w:id="29" w:name="_Toc145490196"/>
      <w:r w:rsidRPr="00280ED6">
        <w:t>References</w:t>
      </w:r>
      <w:bookmarkEnd w:id="27"/>
      <w:bookmarkEnd w:id="28"/>
      <w:bookmarkEnd w:id="29"/>
    </w:p>
    <w:p w14:paraId="2DEDF719" w14:textId="5E3C2BA0" w:rsidR="00DA0527" w:rsidRPr="00280ED6" w:rsidRDefault="00DA0527" w:rsidP="00EE7029">
      <w:pPr>
        <w:pStyle w:val="ListParagraph"/>
        <w:numPr>
          <w:ilvl w:val="0"/>
          <w:numId w:val="3"/>
        </w:numPr>
        <w:rPr>
          <w:b/>
          <w:bCs/>
        </w:rPr>
      </w:pPr>
      <w:r w:rsidRPr="00280ED6">
        <w:rPr>
          <w:b/>
          <w:bCs/>
        </w:rPr>
        <w:t xml:space="preserve">SIGN Guideline 157 Risk Reduction and Management of </w:t>
      </w:r>
      <w:r w:rsidR="00EE7029" w:rsidRPr="00280ED6">
        <w:rPr>
          <w:b/>
          <w:bCs/>
        </w:rPr>
        <w:t>Delirium</w:t>
      </w:r>
      <w:r w:rsidRPr="00280ED6">
        <w:rPr>
          <w:b/>
          <w:bCs/>
        </w:rPr>
        <w:t xml:space="preserve"> March 2019</w:t>
      </w:r>
    </w:p>
    <w:p w14:paraId="6E415EAE" w14:textId="65752806" w:rsidR="00DA0527" w:rsidRPr="00280ED6" w:rsidRDefault="00DA0527" w:rsidP="00EE7029">
      <w:pPr>
        <w:pStyle w:val="ListParagraph"/>
        <w:numPr>
          <w:ilvl w:val="0"/>
          <w:numId w:val="3"/>
        </w:numPr>
        <w:rPr>
          <w:b/>
          <w:bCs/>
        </w:rPr>
      </w:pPr>
      <w:r w:rsidRPr="00280ED6">
        <w:rPr>
          <w:b/>
          <w:bCs/>
        </w:rPr>
        <w:t xml:space="preserve">NHS Greater Glasgow and Clyde Adult Therapeutic Handbook (via </w:t>
      </w:r>
      <w:hyperlink r:id="rId10" w:history="1">
        <w:r w:rsidRPr="00280ED6">
          <w:rPr>
            <w:rStyle w:val="Hyperlink"/>
            <w:b/>
            <w:bCs/>
          </w:rPr>
          <w:t>https://handbook.ggcmedicines.org.uk/guidelines/central-nervous-system/management-of-acutely-disturbed-patients-including-delirium</w:t>
        </w:r>
      </w:hyperlink>
      <w:r w:rsidRPr="00280ED6">
        <w:rPr>
          <w:b/>
          <w:bCs/>
        </w:rPr>
        <w:t>)</w:t>
      </w:r>
    </w:p>
    <w:p w14:paraId="6377764C" w14:textId="1E5A4121" w:rsidR="005C034B" w:rsidRPr="00280ED6" w:rsidRDefault="00DA0527" w:rsidP="00EE7029">
      <w:pPr>
        <w:pStyle w:val="ListParagraph"/>
        <w:numPr>
          <w:ilvl w:val="0"/>
          <w:numId w:val="3"/>
        </w:numPr>
        <w:rPr>
          <w:b/>
          <w:bCs/>
        </w:rPr>
      </w:pPr>
      <w:r w:rsidRPr="00280ED6">
        <w:rPr>
          <w:b/>
          <w:bCs/>
        </w:rPr>
        <w:t xml:space="preserve">NHS Lanarkshire </w:t>
      </w:r>
      <w:r w:rsidR="00EE7029" w:rsidRPr="00280ED6">
        <w:rPr>
          <w:b/>
          <w:bCs/>
        </w:rPr>
        <w:t>Delirium</w:t>
      </w:r>
      <w:r w:rsidRPr="00280ED6">
        <w:rPr>
          <w:b/>
          <w:bCs/>
        </w:rPr>
        <w:t xml:space="preserve"> Guideline V2 (via https://nhslguidelines.scot.nhs.uk/guidelines/mental-health/delirium-guideline/)</w:t>
      </w:r>
    </w:p>
    <w:p w14:paraId="033F6CC2" w14:textId="77777777" w:rsidR="004772AB" w:rsidRPr="00280ED6" w:rsidRDefault="004772AB">
      <w:pPr>
        <w:rPr>
          <w:b/>
          <w:bCs/>
          <w:u w:val="single"/>
        </w:rPr>
      </w:pPr>
      <w:r w:rsidRPr="00280ED6">
        <w:rPr>
          <w:b/>
          <w:bCs/>
          <w:u w:val="single"/>
        </w:rPr>
        <w:br w:type="page"/>
      </w:r>
    </w:p>
    <w:p w14:paraId="668575C6" w14:textId="4CB97EB9" w:rsidR="00C71EB1" w:rsidRPr="00280ED6" w:rsidRDefault="00C71EB1" w:rsidP="00280ED6">
      <w:pPr>
        <w:pStyle w:val="Heading1"/>
      </w:pPr>
      <w:bookmarkStart w:id="30" w:name="_Toc145489414"/>
      <w:bookmarkStart w:id="31" w:name="_Toc145489516"/>
      <w:bookmarkStart w:id="32" w:name="_Toc145490197"/>
      <w:r w:rsidRPr="00280ED6">
        <w:lastRenderedPageBreak/>
        <w:t>Appendix 1 4AT assessment form</w:t>
      </w:r>
      <w:bookmarkEnd w:id="30"/>
      <w:bookmarkEnd w:id="31"/>
      <w:bookmarkEnd w:id="32"/>
    </w:p>
    <w:p w14:paraId="73607578" w14:textId="14F443F3" w:rsidR="005C034B" w:rsidRPr="00280ED6" w:rsidRDefault="00C71EB1">
      <w:r w:rsidRPr="00280ED6">
        <w:rPr>
          <w:noProof/>
        </w:rPr>
        <w:drawing>
          <wp:inline distT="0" distB="0" distL="0" distR="0" wp14:anchorId="79DF6D38" wp14:editId="7AF551B0">
            <wp:extent cx="5690874" cy="8399145"/>
            <wp:effectExtent l="0" t="0" r="5080" b="190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9090" cy="8455548"/>
                    </a:xfrm>
                    <a:prstGeom prst="rect">
                      <a:avLst/>
                    </a:prstGeom>
                  </pic:spPr>
                </pic:pic>
              </a:graphicData>
            </a:graphic>
          </wp:inline>
        </w:drawing>
      </w:r>
    </w:p>
    <w:sectPr w:rsidR="005C034B" w:rsidRPr="00280ED6">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FC9A" w14:textId="77777777" w:rsidR="00C50DA5" w:rsidRDefault="00C50DA5" w:rsidP="004772AB">
      <w:pPr>
        <w:spacing w:after="0" w:line="240" w:lineRule="auto"/>
      </w:pPr>
      <w:r>
        <w:separator/>
      </w:r>
    </w:p>
  </w:endnote>
  <w:endnote w:type="continuationSeparator" w:id="0">
    <w:p w14:paraId="7C4C24E9" w14:textId="77777777" w:rsidR="00C50DA5" w:rsidRDefault="00C50DA5" w:rsidP="0047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7589368"/>
      <w:docPartObj>
        <w:docPartGallery w:val="Page Numbers (Bottom of Page)"/>
        <w:docPartUnique/>
      </w:docPartObj>
    </w:sdtPr>
    <w:sdtContent>
      <w:p w14:paraId="5AE86E76" w14:textId="0C59D271" w:rsidR="004772AB" w:rsidRDefault="004772AB" w:rsidP="00393F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173F61" w14:textId="77777777" w:rsidR="004772AB" w:rsidRDefault="004772AB" w:rsidP="004772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6987" w14:textId="7B6D72B2" w:rsidR="004772AB" w:rsidRPr="00A8487C" w:rsidRDefault="004772AB" w:rsidP="004772AB">
    <w:pPr>
      <w:pStyle w:val="Footer"/>
      <w:ind w:right="360"/>
      <w:rPr>
        <w:color w:val="A6A6A6" w:themeColor="background1" w:themeShade="A6"/>
        <w:sz w:val="16"/>
        <w:szCs w:val="16"/>
      </w:rPr>
    </w:pPr>
    <w:r w:rsidRPr="00A8487C">
      <w:rPr>
        <w:i/>
        <w:color w:val="A6A6A6" w:themeColor="background1" w:themeShade="A6"/>
        <w:sz w:val="16"/>
        <w:szCs w:val="16"/>
      </w:rPr>
      <w:t>SJH-ED-2023-09-B</w:t>
    </w:r>
    <w:r w:rsidRPr="00A8487C">
      <w:rPr>
        <w:i/>
        <w:color w:val="A6A6A6" w:themeColor="background1" w:themeShade="A6"/>
        <w:sz w:val="16"/>
        <w:szCs w:val="16"/>
      </w:rPr>
      <w:tab/>
    </w:r>
    <w:r w:rsidR="00A8487C" w:rsidRPr="00A8487C">
      <w:rPr>
        <w:i/>
        <w:color w:val="A6A6A6" w:themeColor="background1" w:themeShade="A6"/>
        <w:sz w:val="16"/>
        <w:szCs w:val="16"/>
      </w:rPr>
      <w:tab/>
    </w:r>
    <w:r w:rsidRPr="00A8487C">
      <w:rPr>
        <w:i/>
        <w:color w:val="A6A6A6" w:themeColor="background1" w:themeShade="A6"/>
        <w:sz w:val="16"/>
        <w:szCs w:val="16"/>
      </w:rPr>
      <w:t>Page</w:t>
    </w:r>
    <w:r w:rsidR="00A8487C" w:rsidRPr="00A8487C">
      <w:rPr>
        <w:i/>
        <w:color w:val="A6A6A6" w:themeColor="background1" w:themeShade="A6"/>
        <w:sz w:val="16"/>
        <w:szCs w:val="16"/>
      </w:rPr>
      <w:t xml:space="preserve"> </w:t>
    </w:r>
    <w:r w:rsidR="00A8487C" w:rsidRPr="00A8487C">
      <w:rPr>
        <w:i/>
        <w:color w:val="A6A6A6" w:themeColor="background1" w:themeShade="A6"/>
        <w:sz w:val="16"/>
        <w:szCs w:val="16"/>
      </w:rPr>
      <w:fldChar w:fldCharType="begin"/>
    </w:r>
    <w:r w:rsidR="00A8487C" w:rsidRPr="00A8487C">
      <w:rPr>
        <w:i/>
        <w:color w:val="A6A6A6" w:themeColor="background1" w:themeShade="A6"/>
        <w:sz w:val="16"/>
        <w:szCs w:val="16"/>
      </w:rPr>
      <w:instrText xml:space="preserve"> PAGE  \* MERGEFORMAT </w:instrText>
    </w:r>
    <w:r w:rsidR="00A8487C" w:rsidRPr="00A8487C">
      <w:rPr>
        <w:i/>
        <w:color w:val="A6A6A6" w:themeColor="background1" w:themeShade="A6"/>
        <w:sz w:val="16"/>
        <w:szCs w:val="16"/>
      </w:rPr>
      <w:fldChar w:fldCharType="separate"/>
    </w:r>
    <w:r w:rsidR="00A8487C" w:rsidRPr="00A8487C">
      <w:rPr>
        <w:i/>
        <w:noProof/>
        <w:color w:val="A6A6A6" w:themeColor="background1" w:themeShade="A6"/>
        <w:sz w:val="16"/>
        <w:szCs w:val="16"/>
      </w:rPr>
      <w:t>1</w:t>
    </w:r>
    <w:r w:rsidR="00A8487C" w:rsidRPr="00A8487C">
      <w:rPr>
        <w:i/>
        <w:color w:val="A6A6A6" w:themeColor="background1" w:themeShade="A6"/>
        <w:sz w:val="16"/>
        <w:szCs w:val="16"/>
      </w:rPr>
      <w:fldChar w:fldCharType="end"/>
    </w:r>
    <w:r w:rsidR="00A8487C" w:rsidRPr="00A8487C">
      <w:rPr>
        <w:i/>
        <w:color w:val="A6A6A6" w:themeColor="background1" w:themeShade="A6"/>
        <w:sz w:val="16"/>
        <w:szCs w:val="16"/>
      </w:rPr>
      <w:t xml:space="preserve"> of </w:t>
    </w:r>
    <w:r w:rsidR="00A8487C" w:rsidRPr="00A8487C">
      <w:rPr>
        <w:i/>
        <w:color w:val="A6A6A6" w:themeColor="background1" w:themeShade="A6"/>
        <w:sz w:val="16"/>
        <w:szCs w:val="16"/>
      </w:rPr>
      <w:fldChar w:fldCharType="begin"/>
    </w:r>
    <w:r w:rsidR="00A8487C" w:rsidRPr="00A8487C">
      <w:rPr>
        <w:i/>
        <w:color w:val="A6A6A6" w:themeColor="background1" w:themeShade="A6"/>
        <w:sz w:val="16"/>
        <w:szCs w:val="16"/>
      </w:rPr>
      <w:instrText xml:space="preserve"> SECTIONPAGES  \* MERGEFORMAT </w:instrText>
    </w:r>
    <w:r w:rsidR="00A8487C" w:rsidRPr="00A8487C">
      <w:rPr>
        <w:i/>
        <w:color w:val="A6A6A6" w:themeColor="background1" w:themeShade="A6"/>
        <w:sz w:val="16"/>
        <w:szCs w:val="16"/>
      </w:rPr>
      <w:fldChar w:fldCharType="separate"/>
    </w:r>
    <w:r w:rsidR="00A87620">
      <w:rPr>
        <w:i/>
        <w:noProof/>
        <w:color w:val="A6A6A6" w:themeColor="background1" w:themeShade="A6"/>
        <w:sz w:val="16"/>
        <w:szCs w:val="16"/>
      </w:rPr>
      <w:t>7</w:t>
    </w:r>
    <w:r w:rsidR="00A8487C" w:rsidRPr="00A8487C">
      <w:rPr>
        <w:i/>
        <w:color w:val="A6A6A6" w:themeColor="background1" w:themeShade="A6"/>
        <w:sz w:val="16"/>
        <w:szCs w:val="16"/>
      </w:rPr>
      <w:fldChar w:fldCharType="end"/>
    </w:r>
    <w:r w:rsidRPr="00A8487C">
      <w:rPr>
        <w:i/>
        <w:color w:val="A6A6A6" w:themeColor="background1" w:themeShade="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1D01" w14:textId="77777777" w:rsidR="00C50DA5" w:rsidRDefault="00C50DA5" w:rsidP="004772AB">
      <w:pPr>
        <w:spacing w:after="0" w:line="240" w:lineRule="auto"/>
      </w:pPr>
      <w:r>
        <w:separator/>
      </w:r>
    </w:p>
  </w:footnote>
  <w:footnote w:type="continuationSeparator" w:id="0">
    <w:p w14:paraId="40133E46" w14:textId="77777777" w:rsidR="00C50DA5" w:rsidRDefault="00C50DA5" w:rsidP="0047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2950" w14:textId="66F680AD" w:rsidR="004772AB" w:rsidRPr="004772AB" w:rsidRDefault="004772AB">
    <w:pPr>
      <w:pStyle w:val="Header"/>
      <w:rPr>
        <w:color w:val="A6A6A6" w:themeColor="background1" w:themeShade="A6"/>
        <w:sz w:val="16"/>
        <w:szCs w:val="16"/>
      </w:rPr>
    </w:pPr>
    <w:r w:rsidRPr="004772AB">
      <w:rPr>
        <w:color w:val="A6A6A6" w:themeColor="background1" w:themeShade="A6"/>
        <w:sz w:val="16"/>
        <w:szCs w:val="16"/>
      </w:rPr>
      <w:t>Management of agitation and delirium of frail patients in the Emergency Dep</w:t>
    </w:r>
    <w:r>
      <w:rPr>
        <w:color w:val="A6A6A6" w:themeColor="background1" w:themeShade="A6"/>
        <w:sz w:val="16"/>
        <w:szCs w:val="16"/>
      </w:rPr>
      <w:t>artment (SJH 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D37"/>
    <w:multiLevelType w:val="hybridMultilevel"/>
    <w:tmpl w:val="C7164B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E7327B"/>
    <w:multiLevelType w:val="hybridMultilevel"/>
    <w:tmpl w:val="8AB8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D6119"/>
    <w:multiLevelType w:val="hybridMultilevel"/>
    <w:tmpl w:val="6E64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7557E"/>
    <w:multiLevelType w:val="multilevel"/>
    <w:tmpl w:val="3014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495301">
    <w:abstractNumId w:val="3"/>
  </w:num>
  <w:num w:numId="2" w16cid:durableId="1445272457">
    <w:abstractNumId w:val="1"/>
  </w:num>
  <w:num w:numId="3" w16cid:durableId="843788606">
    <w:abstractNumId w:val="0"/>
  </w:num>
  <w:num w:numId="4" w16cid:durableId="632709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14"/>
    <w:rsid w:val="0015468B"/>
    <w:rsid w:val="0024107F"/>
    <w:rsid w:val="00266C07"/>
    <w:rsid w:val="00280ED6"/>
    <w:rsid w:val="002D390D"/>
    <w:rsid w:val="00311565"/>
    <w:rsid w:val="00347FE0"/>
    <w:rsid w:val="00352A4C"/>
    <w:rsid w:val="00387904"/>
    <w:rsid w:val="003F4E31"/>
    <w:rsid w:val="00410201"/>
    <w:rsid w:val="00462F52"/>
    <w:rsid w:val="004772AB"/>
    <w:rsid w:val="004A158B"/>
    <w:rsid w:val="00515759"/>
    <w:rsid w:val="005B11D0"/>
    <w:rsid w:val="005C034B"/>
    <w:rsid w:val="006759C3"/>
    <w:rsid w:val="006A6151"/>
    <w:rsid w:val="006C7942"/>
    <w:rsid w:val="007363F8"/>
    <w:rsid w:val="0082647A"/>
    <w:rsid w:val="00840914"/>
    <w:rsid w:val="008C4282"/>
    <w:rsid w:val="008F54FB"/>
    <w:rsid w:val="00987851"/>
    <w:rsid w:val="009D40DD"/>
    <w:rsid w:val="00A72716"/>
    <w:rsid w:val="00A8487C"/>
    <w:rsid w:val="00A87620"/>
    <w:rsid w:val="00AC369B"/>
    <w:rsid w:val="00B102DD"/>
    <w:rsid w:val="00B53754"/>
    <w:rsid w:val="00BD642B"/>
    <w:rsid w:val="00C267D6"/>
    <w:rsid w:val="00C50DA5"/>
    <w:rsid w:val="00C66E7C"/>
    <w:rsid w:val="00C71EB1"/>
    <w:rsid w:val="00C8665E"/>
    <w:rsid w:val="00C902DB"/>
    <w:rsid w:val="00CA1385"/>
    <w:rsid w:val="00CB291C"/>
    <w:rsid w:val="00D521B6"/>
    <w:rsid w:val="00D56925"/>
    <w:rsid w:val="00DA0527"/>
    <w:rsid w:val="00DE6B9C"/>
    <w:rsid w:val="00E36184"/>
    <w:rsid w:val="00E62266"/>
    <w:rsid w:val="00EC03CB"/>
    <w:rsid w:val="00ED5C5B"/>
    <w:rsid w:val="00EE7029"/>
    <w:rsid w:val="00F111ED"/>
    <w:rsid w:val="00F22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C6C4"/>
  <w15:docId w15:val="{320588FD-B178-4E83-8629-A074FEA8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D6"/>
  </w:style>
  <w:style w:type="paragraph" w:styleId="Heading1">
    <w:name w:val="heading 1"/>
    <w:basedOn w:val="Normal"/>
    <w:next w:val="Normal"/>
    <w:link w:val="Heading1Char"/>
    <w:uiPriority w:val="9"/>
    <w:qFormat/>
    <w:rsid w:val="00280ED6"/>
    <w:pPr>
      <w:keepNext/>
      <w:keepLines/>
      <w:spacing w:before="360" w:after="120"/>
      <w:outlineLvl w:val="0"/>
    </w:pPr>
    <w:rPr>
      <w:rFonts w:eastAsiaTheme="majorEastAsia" w:cstheme="majorBidi"/>
      <w:b/>
      <w:color w:val="000000" w:themeColor="text1"/>
      <w:sz w:val="24"/>
      <w:szCs w:val="32"/>
      <w:u w:val="single"/>
    </w:rPr>
  </w:style>
  <w:style w:type="paragraph" w:styleId="Heading2">
    <w:name w:val="heading 2"/>
    <w:basedOn w:val="Normal"/>
    <w:next w:val="Normal"/>
    <w:link w:val="Heading2Char"/>
    <w:uiPriority w:val="9"/>
    <w:unhideWhenUsed/>
    <w:qFormat/>
    <w:rsid w:val="00280ED6"/>
    <w:pPr>
      <w:keepNext/>
      <w:keepLines/>
      <w:spacing w:before="240" w:after="40"/>
      <w:ind w:left="720"/>
      <w:outlineLvl w:val="1"/>
    </w:pPr>
    <w:rPr>
      <w:rFonts w:eastAsiaTheme="majorEastAsia" w:cstheme="majorBidi"/>
      <w:b/>
      <w:color w:val="000000" w:themeColor="text1"/>
      <w:sz w:val="24"/>
      <w:szCs w:val="26"/>
      <w:u w:val="single"/>
    </w:rPr>
  </w:style>
  <w:style w:type="paragraph" w:styleId="Heading3">
    <w:name w:val="heading 3"/>
    <w:basedOn w:val="Normal"/>
    <w:next w:val="Normal"/>
    <w:link w:val="Heading3Char"/>
    <w:uiPriority w:val="9"/>
    <w:semiHidden/>
    <w:unhideWhenUsed/>
    <w:qFormat/>
    <w:rsid w:val="00280E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4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A0527"/>
    <w:rPr>
      <w:color w:val="0563C1" w:themeColor="hyperlink"/>
      <w:u w:val="single"/>
    </w:rPr>
  </w:style>
  <w:style w:type="character" w:styleId="UnresolvedMention">
    <w:name w:val="Unresolved Mention"/>
    <w:basedOn w:val="DefaultParagraphFont"/>
    <w:uiPriority w:val="99"/>
    <w:semiHidden/>
    <w:unhideWhenUsed/>
    <w:rsid w:val="00DA0527"/>
    <w:rPr>
      <w:color w:val="605E5C"/>
      <w:shd w:val="clear" w:color="auto" w:fill="E1DFDD"/>
    </w:rPr>
  </w:style>
  <w:style w:type="paragraph" w:styleId="Header">
    <w:name w:val="header"/>
    <w:basedOn w:val="Normal"/>
    <w:link w:val="HeaderChar"/>
    <w:uiPriority w:val="99"/>
    <w:unhideWhenUsed/>
    <w:rsid w:val="0047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2AB"/>
  </w:style>
  <w:style w:type="paragraph" w:styleId="Footer">
    <w:name w:val="footer"/>
    <w:basedOn w:val="Normal"/>
    <w:link w:val="FooterChar"/>
    <w:uiPriority w:val="99"/>
    <w:unhideWhenUsed/>
    <w:rsid w:val="0047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2AB"/>
  </w:style>
  <w:style w:type="character" w:styleId="PageNumber">
    <w:name w:val="page number"/>
    <w:basedOn w:val="DefaultParagraphFont"/>
    <w:uiPriority w:val="99"/>
    <w:semiHidden/>
    <w:unhideWhenUsed/>
    <w:rsid w:val="004772AB"/>
  </w:style>
  <w:style w:type="character" w:customStyle="1" w:styleId="Heading1Char">
    <w:name w:val="Heading 1 Char"/>
    <w:basedOn w:val="DefaultParagraphFont"/>
    <w:link w:val="Heading1"/>
    <w:uiPriority w:val="9"/>
    <w:rsid w:val="00280ED6"/>
    <w:rPr>
      <w:rFonts w:eastAsiaTheme="majorEastAsia" w:cstheme="majorBidi"/>
      <w:b/>
      <w:color w:val="000000" w:themeColor="text1"/>
      <w:sz w:val="24"/>
      <w:szCs w:val="32"/>
      <w:u w:val="single"/>
    </w:rPr>
  </w:style>
  <w:style w:type="character" w:customStyle="1" w:styleId="Heading2Char">
    <w:name w:val="Heading 2 Char"/>
    <w:basedOn w:val="DefaultParagraphFont"/>
    <w:link w:val="Heading2"/>
    <w:uiPriority w:val="9"/>
    <w:rsid w:val="00280ED6"/>
    <w:rPr>
      <w:rFonts w:eastAsiaTheme="majorEastAsia" w:cstheme="majorBidi"/>
      <w:b/>
      <w:color w:val="000000" w:themeColor="text1"/>
      <w:sz w:val="24"/>
      <w:szCs w:val="26"/>
      <w:u w:val="single"/>
    </w:rPr>
  </w:style>
  <w:style w:type="paragraph" w:styleId="ListParagraph">
    <w:name w:val="List Paragraph"/>
    <w:basedOn w:val="Normal"/>
    <w:uiPriority w:val="34"/>
    <w:qFormat/>
    <w:rsid w:val="00EE7029"/>
    <w:pPr>
      <w:ind w:left="720"/>
      <w:contextualSpacing/>
    </w:pPr>
  </w:style>
  <w:style w:type="paragraph" w:styleId="TOC1">
    <w:name w:val="toc 1"/>
    <w:basedOn w:val="Normal"/>
    <w:next w:val="Normal"/>
    <w:autoRedefine/>
    <w:uiPriority w:val="39"/>
    <w:unhideWhenUsed/>
    <w:rsid w:val="00280ED6"/>
    <w:pPr>
      <w:tabs>
        <w:tab w:val="right" w:leader="dot" w:pos="9016"/>
      </w:tabs>
      <w:spacing w:after="100"/>
    </w:pPr>
  </w:style>
  <w:style w:type="paragraph" w:styleId="TOC2">
    <w:name w:val="toc 2"/>
    <w:basedOn w:val="Normal"/>
    <w:next w:val="Normal"/>
    <w:autoRedefine/>
    <w:uiPriority w:val="39"/>
    <w:unhideWhenUsed/>
    <w:rsid w:val="00EE7029"/>
    <w:pPr>
      <w:spacing w:after="100"/>
      <w:ind w:left="220"/>
    </w:pPr>
  </w:style>
  <w:style w:type="character" w:customStyle="1" w:styleId="Heading3Char">
    <w:name w:val="Heading 3 Char"/>
    <w:basedOn w:val="DefaultParagraphFont"/>
    <w:link w:val="Heading3"/>
    <w:uiPriority w:val="9"/>
    <w:semiHidden/>
    <w:rsid w:val="00280ED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280ED6"/>
    <w:pPr>
      <w:jc w:val="center"/>
    </w:pPr>
    <w:rPr>
      <w:rFonts w:asciiTheme="majorHAnsi" w:eastAsiaTheme="majorEastAsia" w:hAnsiTheme="majorHAnsi" w:cstheme="majorBidi"/>
      <w:i/>
      <w:color w:val="000000" w:themeColor="text1"/>
      <w:sz w:val="32"/>
      <w:szCs w:val="32"/>
    </w:rPr>
  </w:style>
  <w:style w:type="character" w:customStyle="1" w:styleId="TitleChar">
    <w:name w:val="Title Char"/>
    <w:basedOn w:val="DefaultParagraphFont"/>
    <w:link w:val="Title"/>
    <w:uiPriority w:val="10"/>
    <w:rsid w:val="00280ED6"/>
    <w:rPr>
      <w:rFonts w:asciiTheme="majorHAnsi" w:eastAsiaTheme="majorEastAsia" w:hAnsiTheme="majorHAnsi" w:cstheme="majorBidi"/>
      <w: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62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andbook.ggcmedicines.org.uk/guidelines/central-nervous-system/management-of-acutely-disturbed-patients-including-delir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790D2239B414E94F0FBD5C0BA76A6" ma:contentTypeVersion="0" ma:contentTypeDescription="Create a new document." ma:contentTypeScope="" ma:versionID="7a69c9657b1f45d4dfe69c7d8ff7062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64B7B-0577-4CE8-AF8F-B62E7F11DA03}">
  <ds:schemaRefs>
    <ds:schemaRef ds:uri="http://schemas.microsoft.com/sharepoint/v3/contenttype/forms"/>
  </ds:schemaRefs>
</ds:datastoreItem>
</file>

<file path=customXml/itemProps2.xml><?xml version="1.0" encoding="utf-8"?>
<ds:datastoreItem xmlns:ds="http://schemas.openxmlformats.org/officeDocument/2006/customXml" ds:itemID="{9BFB2263-8090-4DAF-A329-ACD0D278C8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C9652D-FDDD-4FD2-91E7-08BA2B20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7</Pages>
  <Words>1410</Words>
  <Characters>8234</Characters>
  <Application>Microsoft Office Word</Application>
  <DocSecurity>0</DocSecurity>
  <Lines>181</Lines>
  <Paragraphs>107</Paragraphs>
  <ScaleCrop>false</ScaleCrop>
  <HeadingPairs>
    <vt:vector size="2" baseType="variant">
      <vt:variant>
        <vt:lpstr>Title</vt:lpstr>
      </vt:variant>
      <vt:variant>
        <vt:i4>1</vt:i4>
      </vt:variant>
    </vt:vector>
  </HeadingPairs>
  <TitlesOfParts>
    <vt:vector size="1" baseType="lpstr">
      <vt:lpstr>Management of agitation and delirium of frail patients in the Emergency Department</vt:lpstr>
    </vt:vector>
  </TitlesOfParts>
  <Manager/>
  <Company>NHS Lothian</Company>
  <LinksUpToDate>false</LinksUpToDate>
  <CharactersWithSpaces>9574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agitation and delirium of frail patients in the Emergency Department</dc:title>
  <dc:subject/>
  <dc:creator>Tim Wright</dc:creator>
  <cp:keywords/>
  <dc:description>As rev info. Initial March 2023 by TW. Formatted for upload 2023-09-13 by DD.</dc:description>
  <cp:lastModifiedBy>Deepankar Datta</cp:lastModifiedBy>
  <cp:revision>11</cp:revision>
  <dcterms:created xsi:type="dcterms:W3CDTF">2023-05-16T13:03:00Z</dcterms:created>
  <dcterms:modified xsi:type="dcterms:W3CDTF">2023-09-13T13:20:00Z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2023-09-13T10:00:00Z</vt:filetime>
  </property>
  <property fmtid="{D5CDD505-2E9C-101B-9397-08002B2CF9AE}" pid="3" name="Department">
    <vt:lpwstr>SJH ED</vt:lpwstr>
  </property>
  <property fmtid="{D5CDD505-2E9C-101B-9397-08002B2CF9AE}" pid="4" name="Document number">
    <vt:lpwstr>SJH-ED-2023-09-B</vt:lpwstr>
  </property>
</Properties>
</file>