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9061" w14:textId="77777777" w:rsidR="00670D2B" w:rsidRPr="00221C72" w:rsidRDefault="00670D2B" w:rsidP="00670D2B">
      <w:pPr>
        <w:pStyle w:val="Heading2"/>
      </w:pPr>
      <w:r w:rsidRPr="00221C72">
        <w:t>Definition of Risk Categories</w:t>
      </w:r>
    </w:p>
    <w:p w14:paraId="504A8B5D" w14:textId="77777777" w:rsidR="00670D2B" w:rsidRPr="00221C72" w:rsidRDefault="00670D2B" w:rsidP="00670D2B">
      <w:pPr>
        <w:pStyle w:val="Heading3"/>
        <w:rPr>
          <w:sz w:val="24"/>
          <w:szCs w:val="24"/>
        </w:rPr>
      </w:pPr>
      <w:r w:rsidRPr="00221C72">
        <w:t>Very High Risk: Gene Carrier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5"/>
      </w:tblGrid>
      <w:tr w:rsidR="00670D2B" w:rsidRPr="00221C72" w14:paraId="79084F85" w14:textId="77777777" w:rsidTr="00670D2B">
        <w:tc>
          <w:tcPr>
            <w:tcW w:w="4106" w:type="dxa"/>
          </w:tcPr>
          <w:p w14:paraId="56D15C7B" w14:textId="77777777" w:rsidR="00670D2B" w:rsidRPr="00221C72" w:rsidRDefault="00670D2B" w:rsidP="00A27AEB">
            <w:pPr>
              <w:pStyle w:val="TableParagraph"/>
              <w:tabs>
                <w:tab w:val="left" w:pos="566"/>
                <w:tab w:val="left" w:pos="567"/>
              </w:tabs>
              <w:ind w:left="0" w:right="164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>Risk Figures</w:t>
            </w:r>
          </w:p>
        </w:tc>
        <w:tc>
          <w:tcPr>
            <w:tcW w:w="5245" w:type="dxa"/>
          </w:tcPr>
          <w:p w14:paraId="38D5B187" w14:textId="77777777" w:rsidR="00670D2B" w:rsidRPr="00221C72" w:rsidRDefault="00670D2B" w:rsidP="00A27AEB">
            <w:pPr>
              <w:pStyle w:val="TableParagraph"/>
              <w:tabs>
                <w:tab w:val="left" w:pos="566"/>
                <w:tab w:val="left" w:pos="567"/>
              </w:tabs>
              <w:ind w:right="368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>Category description</w:t>
            </w:r>
          </w:p>
        </w:tc>
      </w:tr>
      <w:tr w:rsidR="00670D2B" w:rsidRPr="00221C72" w14:paraId="733AB7B0" w14:textId="77777777" w:rsidTr="00670D2B">
        <w:tc>
          <w:tcPr>
            <w:tcW w:w="4106" w:type="dxa"/>
          </w:tcPr>
          <w:p w14:paraId="4EDFAC75" w14:textId="77777777" w:rsidR="00670D2B" w:rsidRPr="00221C72" w:rsidRDefault="00670D2B" w:rsidP="00670D2B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autoSpaceDE/>
              <w:autoSpaceDN/>
              <w:ind w:left="360" w:right="164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Equates to a lifetime risk of developing breast cancer of </w:t>
            </w:r>
            <w:r w:rsidRPr="00221C72">
              <w:rPr>
                <w:spacing w:val="-5"/>
                <w:sz w:val="20"/>
                <w:szCs w:val="20"/>
              </w:rPr>
              <w:t xml:space="preserve">40% </w:t>
            </w:r>
            <w:r w:rsidRPr="00221C72">
              <w:rPr>
                <w:sz w:val="20"/>
                <w:szCs w:val="20"/>
              </w:rPr>
              <w:t>or</w:t>
            </w:r>
            <w:r w:rsidRPr="00221C72">
              <w:rPr>
                <w:spacing w:val="-1"/>
                <w:sz w:val="20"/>
                <w:szCs w:val="20"/>
              </w:rPr>
              <w:t xml:space="preserve"> </w:t>
            </w:r>
            <w:r w:rsidRPr="00221C72">
              <w:rPr>
                <w:sz w:val="20"/>
                <w:szCs w:val="20"/>
              </w:rPr>
              <w:t>more,</w:t>
            </w:r>
          </w:p>
          <w:p w14:paraId="75E7EA2E" w14:textId="77777777" w:rsidR="00670D2B" w:rsidRPr="00221C72" w:rsidRDefault="00670D2B" w:rsidP="00670D2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autoSpaceDE/>
              <w:autoSpaceDN/>
              <w:ind w:left="360" w:right="102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Equates to a </w:t>
            </w:r>
            <w:r>
              <w:rPr>
                <w:sz w:val="20"/>
                <w:szCs w:val="20"/>
              </w:rPr>
              <w:t>female</w:t>
            </w:r>
            <w:r w:rsidRPr="00221C72">
              <w:rPr>
                <w:sz w:val="20"/>
                <w:szCs w:val="20"/>
              </w:rPr>
              <w:t xml:space="preserve"> in her thirties whose</w:t>
            </w:r>
            <w:r w:rsidRPr="00221C72">
              <w:rPr>
                <w:spacing w:val="-18"/>
                <w:sz w:val="20"/>
                <w:szCs w:val="20"/>
              </w:rPr>
              <w:t xml:space="preserve"> </w:t>
            </w:r>
            <w:r w:rsidRPr="00221C72">
              <w:rPr>
                <w:sz w:val="20"/>
                <w:szCs w:val="20"/>
              </w:rPr>
              <w:t>10-year risk is greater than 8% as assessed at age</w:t>
            </w:r>
            <w:r w:rsidRPr="00221C72">
              <w:rPr>
                <w:spacing w:val="-4"/>
                <w:sz w:val="20"/>
                <w:szCs w:val="20"/>
              </w:rPr>
              <w:t xml:space="preserve"> </w:t>
            </w:r>
            <w:r w:rsidRPr="00221C72">
              <w:rPr>
                <w:sz w:val="20"/>
                <w:szCs w:val="20"/>
              </w:rPr>
              <w:t>30,</w:t>
            </w:r>
          </w:p>
          <w:p w14:paraId="5D0FD335" w14:textId="77777777" w:rsidR="00670D2B" w:rsidRPr="00221C72" w:rsidRDefault="00670D2B" w:rsidP="00670D2B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autoSpaceDE/>
              <w:autoSpaceDN/>
              <w:ind w:left="360" w:right="523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or in her forties and whose 10-year risk </w:t>
            </w:r>
            <w:r w:rsidRPr="00221C72">
              <w:rPr>
                <w:spacing w:val="-8"/>
                <w:sz w:val="20"/>
                <w:szCs w:val="20"/>
              </w:rPr>
              <w:t xml:space="preserve">is </w:t>
            </w:r>
            <w:r w:rsidRPr="00221C72">
              <w:rPr>
                <w:sz w:val="20"/>
                <w:szCs w:val="20"/>
              </w:rPr>
              <w:t>greater than 20% as assessed at age</w:t>
            </w:r>
            <w:r w:rsidRPr="00221C72">
              <w:rPr>
                <w:spacing w:val="-5"/>
                <w:sz w:val="20"/>
                <w:szCs w:val="20"/>
              </w:rPr>
              <w:t xml:space="preserve"> </w:t>
            </w:r>
            <w:r w:rsidRPr="00221C72">
              <w:rPr>
                <w:sz w:val="20"/>
                <w:szCs w:val="20"/>
              </w:rPr>
              <w:t>40.</w:t>
            </w:r>
          </w:p>
        </w:tc>
        <w:tc>
          <w:tcPr>
            <w:tcW w:w="5245" w:type="dxa"/>
          </w:tcPr>
          <w:p w14:paraId="432672B1" w14:textId="77777777" w:rsidR="00670D2B" w:rsidRPr="00221C72" w:rsidRDefault="00670D2B" w:rsidP="00670D2B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566"/>
                <w:tab w:val="left" w:pos="567"/>
              </w:tabs>
              <w:autoSpaceDE/>
              <w:autoSpaceDN/>
              <w:ind w:right="368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Heterozygous carrier of a </w:t>
            </w:r>
            <w:r>
              <w:rPr>
                <w:sz w:val="20"/>
                <w:szCs w:val="20"/>
              </w:rPr>
              <w:t xml:space="preserve">pathogenic/likely pathogenic variant in </w:t>
            </w:r>
            <w:r w:rsidRPr="00221C72">
              <w:rPr>
                <w:i/>
                <w:iCs/>
                <w:sz w:val="20"/>
                <w:szCs w:val="20"/>
              </w:rPr>
              <w:t>BRCA1, BRCA2, TP53, PALB2, STK11, PTEN</w:t>
            </w:r>
            <w:r w:rsidRPr="00221C72">
              <w:rPr>
                <w:i/>
                <w:sz w:val="20"/>
                <w:szCs w:val="20"/>
              </w:rPr>
              <w:t xml:space="preserve"> and CDH1.</w:t>
            </w:r>
          </w:p>
          <w:p w14:paraId="350AD35B" w14:textId="77777777" w:rsidR="00670D2B" w:rsidRPr="00221C72" w:rsidRDefault="00670D2B" w:rsidP="00670D2B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566"/>
                <w:tab w:val="left" w:pos="567"/>
              </w:tabs>
              <w:autoSpaceDE/>
              <w:autoSpaceDN/>
              <w:ind w:right="368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Heterozygous carrier of c.7271T&gt;G </w:t>
            </w:r>
            <w:r w:rsidRPr="00221C72">
              <w:rPr>
                <w:i/>
                <w:iCs/>
                <w:sz w:val="20"/>
                <w:szCs w:val="20"/>
              </w:rPr>
              <w:t>ATM</w:t>
            </w:r>
          </w:p>
          <w:p w14:paraId="7B5B28D7" w14:textId="77777777" w:rsidR="00670D2B" w:rsidRPr="00490656" w:rsidRDefault="00670D2B" w:rsidP="00670D2B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566"/>
                <w:tab w:val="left" w:pos="567"/>
              </w:tabs>
              <w:autoSpaceDE/>
              <w:autoSpaceDN/>
              <w:ind w:right="368"/>
              <w:rPr>
                <w:sz w:val="20"/>
                <w:szCs w:val="20"/>
              </w:rPr>
            </w:pPr>
            <w:r w:rsidRPr="00221C72">
              <w:rPr>
                <w:sz w:val="20"/>
                <w:szCs w:val="20"/>
              </w:rPr>
              <w:t xml:space="preserve">Homozygous </w:t>
            </w:r>
            <w:r>
              <w:rPr>
                <w:sz w:val="20"/>
                <w:szCs w:val="20"/>
              </w:rPr>
              <w:t>pathogenic/likely pathogenic variants</w:t>
            </w:r>
            <w:r w:rsidRPr="00221C72">
              <w:rPr>
                <w:sz w:val="20"/>
                <w:szCs w:val="20"/>
              </w:rPr>
              <w:t xml:space="preserve"> in </w:t>
            </w:r>
            <w:r w:rsidRPr="00221C72">
              <w:rPr>
                <w:i/>
                <w:iCs/>
                <w:sz w:val="20"/>
                <w:szCs w:val="20"/>
              </w:rPr>
              <w:t>ATM, CHEK2</w:t>
            </w:r>
          </w:p>
        </w:tc>
      </w:tr>
    </w:tbl>
    <w:p w14:paraId="2EA5D73F" w14:textId="77777777" w:rsidR="00670D2B" w:rsidRPr="00221C72" w:rsidRDefault="00670D2B" w:rsidP="00670D2B">
      <w:pPr>
        <w:pStyle w:val="Heading3"/>
      </w:pPr>
      <w:bookmarkStart w:id="0" w:name="_Hlk132274534"/>
      <w:r w:rsidRPr="00221C72">
        <w:t>High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5"/>
      </w:tblGrid>
      <w:tr w:rsidR="00670D2B" w:rsidRPr="00221C72" w14:paraId="0BC7629D" w14:textId="77777777" w:rsidTr="00670D2B">
        <w:trPr>
          <w:trHeight w:val="3385"/>
        </w:trPr>
        <w:tc>
          <w:tcPr>
            <w:tcW w:w="4106" w:type="dxa"/>
          </w:tcPr>
          <w:p w14:paraId="2B3F4C8D" w14:textId="77777777" w:rsidR="00670D2B" w:rsidRPr="00697461" w:rsidRDefault="00670D2B" w:rsidP="00670D2B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Equates to a lifetime risk of developing breast cancer of 30% or more,</w:t>
            </w:r>
          </w:p>
          <w:p w14:paraId="36688DB2" w14:textId="77777777" w:rsidR="00670D2B" w:rsidRPr="00697461" w:rsidRDefault="00670D2B" w:rsidP="00670D2B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Equates to a female in her thirties whose 10-year risk is greater than 8% but less than 12% as assessed at age 40.</w:t>
            </w:r>
          </w:p>
          <w:p w14:paraId="6410C2A6" w14:textId="77777777" w:rsidR="00670D2B" w:rsidRPr="00697461" w:rsidRDefault="00670D2B" w:rsidP="00A27AEB">
            <w:pPr>
              <w:pStyle w:val="BodyText"/>
              <w:spacing w:before="94"/>
              <w:ind w:left="36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208441A" w14:textId="77777777" w:rsidR="00670D2B" w:rsidRPr="00697461" w:rsidRDefault="00670D2B" w:rsidP="00670D2B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Families where there is an estimated 20% or greater risk of carrying a pathogenic/likely pathogenic variant in a high-risk gene</w:t>
            </w:r>
          </w:p>
          <w:p w14:paraId="1462D0AA" w14:textId="38C129ED" w:rsidR="00670D2B" w:rsidRPr="00670D2B" w:rsidRDefault="00670D2B" w:rsidP="00670D2B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/>
              <w:ind w:left="714" w:hanging="357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Heterozygous carrier of a pathogenic/likely pathogenic variant  in </w:t>
            </w:r>
            <w:r w:rsidRPr="00490656">
              <w:rPr>
                <w:rFonts w:eastAsia="Times New Roman"/>
                <w:i/>
                <w:iCs/>
                <w:color w:val="000000"/>
                <w:sz w:val="20"/>
                <w:szCs w:val="20"/>
                <w:lang w:bidi="ar-SA"/>
              </w:rPr>
              <w:t xml:space="preserve">RAD51C, RAD51D, ATM </w:t>
            </w:r>
            <w:r w:rsidRPr="00490656">
              <w:rPr>
                <w:rFonts w:eastAsia="Times New Roman"/>
                <w:color w:val="000000"/>
                <w:sz w:val="20"/>
                <w:szCs w:val="20"/>
                <w:lang w:bidi="ar-SA"/>
              </w:rPr>
              <w:t>or</w:t>
            </w:r>
            <w:r w:rsidRPr="00490656">
              <w:rPr>
                <w:rFonts w:eastAsia="Times New Roman"/>
                <w:i/>
                <w:iCs/>
                <w:color w:val="000000"/>
                <w:sz w:val="20"/>
                <w:szCs w:val="20"/>
                <w:lang w:bidi="ar-SA"/>
              </w:rPr>
              <w:t xml:space="preserve"> CHEK2</w:t>
            </w: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 and a CanRisk estimate of over 30% lifetime risk</w:t>
            </w:r>
          </w:p>
          <w:p w14:paraId="6B6D83A2" w14:textId="77777777" w:rsidR="00670D2B" w:rsidRDefault="00670D2B" w:rsidP="00670D2B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  <w:p w14:paraId="4DF5E9B6" w14:textId="635FCFF7" w:rsidR="00670D2B" w:rsidRDefault="00670D2B" w:rsidP="00670D2B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The individual being assessed should be a first-degree relative of an affected family member or a second-degree relative through an unaffected male.</w:t>
            </w:r>
          </w:p>
          <w:p w14:paraId="6DBA2925" w14:textId="77777777" w:rsidR="00670D2B" w:rsidRPr="00697461" w:rsidRDefault="00670D2B" w:rsidP="00670D2B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  <w:p w14:paraId="073B5F65" w14:textId="55E7828E" w:rsidR="00670D2B" w:rsidRPr="00670D2B" w:rsidRDefault="00670D2B" w:rsidP="00670D2B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Affected individuals should be first-degree relatives of each other or related through unaffected males.</w:t>
            </w:r>
          </w:p>
        </w:tc>
      </w:tr>
    </w:tbl>
    <w:p w14:paraId="7B1EC7FF" w14:textId="77777777" w:rsidR="00670D2B" w:rsidRPr="00221C72" w:rsidRDefault="00670D2B" w:rsidP="00670D2B">
      <w:pPr>
        <w:pStyle w:val="Heading3"/>
      </w:pPr>
      <w:bookmarkStart w:id="1" w:name="_Hlk132274691"/>
      <w:bookmarkEnd w:id="0"/>
      <w:r w:rsidRPr="00221C72">
        <w:t>Moderate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5"/>
      </w:tblGrid>
      <w:tr w:rsidR="00670D2B" w:rsidRPr="00221C72" w14:paraId="26D7B04C" w14:textId="77777777" w:rsidTr="00670D2B">
        <w:tc>
          <w:tcPr>
            <w:tcW w:w="4106" w:type="dxa"/>
          </w:tcPr>
          <w:p w14:paraId="66EB6CDB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Equates to a lifetime risk of breast cancer of greater than 17% but less than 30%,</w:t>
            </w:r>
          </w:p>
          <w:p w14:paraId="70BC0B10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Equates to a female in her thirties whose 10-year risk is greater than 3% but less than 8% as assessed at age 40.</w:t>
            </w:r>
          </w:p>
          <w:p w14:paraId="7901482A" w14:textId="77777777" w:rsidR="00670D2B" w:rsidRPr="00697461" w:rsidRDefault="00670D2B" w:rsidP="00A27AEB">
            <w:pPr>
              <w:pStyle w:val="BodyText"/>
              <w:spacing w:before="94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413A6E11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One first-degree* relative with breast cancer diagnosed under the age of 40, or one first-degree relative with male breast cancer diagnosed at any age,</w:t>
            </w:r>
          </w:p>
          <w:p w14:paraId="799D50EC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or two first- or one first- and one second-degree relative with breast cancer diagnosed with average age of less than 60</w:t>
            </w:r>
            <w:r w:rsidRPr="00697461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,</w:t>
            </w: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or ovarian cancer at any age, on the same side of the family</w:t>
            </w:r>
          </w:p>
          <w:p w14:paraId="23366A44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or three first- or second-degree relatives with breast or ovarian cancer on the same side of the family where one is a first-degree relative of the individual under review or of their father</w:t>
            </w:r>
          </w:p>
          <w:p w14:paraId="79978858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Heterozygous carrier of a pathogenic/likely pathogenic variant in </w:t>
            </w:r>
            <w:r w:rsidRPr="00490656">
              <w:rPr>
                <w:rFonts w:eastAsia="Times New Roman"/>
                <w:i/>
                <w:iCs/>
                <w:color w:val="000000"/>
                <w:sz w:val="20"/>
                <w:szCs w:val="20"/>
                <w:lang w:bidi="ar-SA"/>
              </w:rPr>
              <w:t>RAD51C, RAD51D, ATM</w:t>
            </w: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 or </w:t>
            </w:r>
            <w:r w:rsidRPr="00490656">
              <w:rPr>
                <w:rFonts w:eastAsia="Times New Roman"/>
                <w:i/>
                <w:iCs/>
                <w:color w:val="000000"/>
                <w:sz w:val="20"/>
                <w:szCs w:val="20"/>
                <w:lang w:bidi="ar-SA"/>
              </w:rPr>
              <w:t>CHEK2</w:t>
            </w: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 and a CanRisk estimate of 17-30% lifetime risk</w:t>
            </w:r>
          </w:p>
          <w:p w14:paraId="45568969" w14:textId="77777777" w:rsidR="00670D2B" w:rsidRPr="00697461" w:rsidRDefault="00670D2B" w:rsidP="00670D2B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Females with a diagnosis of Neurofibromatosis </w:t>
            </w: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(NF1)</w:t>
            </w:r>
          </w:p>
          <w:p w14:paraId="3DD4C6B4" w14:textId="03C4E045" w:rsidR="00670D2B" w:rsidRPr="00670D2B" w:rsidRDefault="00670D2B" w:rsidP="00670D2B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697461">
              <w:rPr>
                <w:rFonts w:eastAsia="Times New Roman"/>
                <w:color w:val="000000"/>
                <w:sz w:val="20"/>
                <w:szCs w:val="20"/>
                <w:lang w:bidi="ar-SA"/>
              </w:rPr>
              <w:t>A case of bilateral breast cancer should be treated as the equivalent of 2 affected relatives.</w:t>
            </w:r>
          </w:p>
        </w:tc>
      </w:tr>
    </w:tbl>
    <w:bookmarkEnd w:id="1"/>
    <w:p w14:paraId="3B932355" w14:textId="77777777" w:rsidR="00670D2B" w:rsidRPr="00221C72" w:rsidRDefault="00670D2B" w:rsidP="00670D2B">
      <w:pPr>
        <w:pStyle w:val="Heading3"/>
      </w:pPr>
      <w:r w:rsidRPr="00221C72">
        <w:t>Low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5"/>
      </w:tblGrid>
      <w:tr w:rsidR="00670D2B" w:rsidRPr="00221C72" w14:paraId="1819AB7A" w14:textId="77777777" w:rsidTr="00670D2B">
        <w:trPr>
          <w:trHeight w:val="728"/>
        </w:trPr>
        <w:tc>
          <w:tcPr>
            <w:tcW w:w="4106" w:type="dxa"/>
          </w:tcPr>
          <w:p w14:paraId="16BF57E9" w14:textId="77777777" w:rsidR="00670D2B" w:rsidRPr="00221C72" w:rsidRDefault="00670D2B" w:rsidP="00A27AEB">
            <w:pPr>
              <w:pStyle w:val="BodyText"/>
              <w:spacing w:before="94"/>
            </w:pPr>
            <w:r w:rsidRPr="00221C72">
              <w:rPr>
                <w:sz w:val="20"/>
                <w:szCs w:val="20"/>
              </w:rPr>
              <w:t xml:space="preserve">Equates to 17% or </w:t>
            </w:r>
            <w:r w:rsidRPr="00221C72">
              <w:rPr>
                <w:spacing w:val="-5"/>
                <w:sz w:val="20"/>
                <w:szCs w:val="20"/>
              </w:rPr>
              <w:t xml:space="preserve">less </w:t>
            </w:r>
            <w:r w:rsidRPr="00221C72">
              <w:rPr>
                <w:sz w:val="20"/>
                <w:szCs w:val="20"/>
              </w:rPr>
              <w:t>lifetime</w:t>
            </w:r>
            <w:r w:rsidRPr="00221C72">
              <w:rPr>
                <w:spacing w:val="-3"/>
                <w:sz w:val="20"/>
                <w:szCs w:val="20"/>
              </w:rPr>
              <w:t xml:space="preserve"> </w:t>
            </w:r>
            <w:r w:rsidRPr="00221C72">
              <w:rPr>
                <w:sz w:val="20"/>
                <w:szCs w:val="20"/>
              </w:rPr>
              <w:t>risk</w:t>
            </w:r>
          </w:p>
        </w:tc>
        <w:tc>
          <w:tcPr>
            <w:tcW w:w="5245" w:type="dxa"/>
          </w:tcPr>
          <w:p w14:paraId="459C4BED" w14:textId="77777777" w:rsidR="00670D2B" w:rsidRPr="00221C72" w:rsidRDefault="00670D2B" w:rsidP="00A27AEB">
            <w:pPr>
              <w:pStyle w:val="BodyText"/>
              <w:spacing w:before="94"/>
            </w:pPr>
            <w:r w:rsidRPr="00221C72">
              <w:rPr>
                <w:sz w:val="20"/>
                <w:szCs w:val="20"/>
              </w:rPr>
              <w:t xml:space="preserve">Anyone not fulfilling moderate, high or </w:t>
            </w:r>
            <w:r w:rsidRPr="00221C72">
              <w:rPr>
                <w:spacing w:val="-4"/>
                <w:sz w:val="20"/>
                <w:szCs w:val="20"/>
              </w:rPr>
              <w:t xml:space="preserve">very </w:t>
            </w:r>
            <w:r w:rsidRPr="00221C72">
              <w:rPr>
                <w:sz w:val="20"/>
                <w:szCs w:val="20"/>
              </w:rPr>
              <w:t>high risk criteria</w:t>
            </w:r>
          </w:p>
        </w:tc>
      </w:tr>
    </w:tbl>
    <w:p w14:paraId="2BD41BC6" w14:textId="77777777" w:rsidR="00670D2B" w:rsidRPr="00221C72" w:rsidRDefault="00670D2B" w:rsidP="00670D2B">
      <w:pPr>
        <w:pStyle w:val="Heading1"/>
        <w:rPr>
          <w:rStyle w:val="SubtleEmphasis"/>
          <w:color w:val="auto"/>
          <w:sz w:val="20"/>
          <w:szCs w:val="20"/>
        </w:rPr>
      </w:pPr>
    </w:p>
    <w:p w14:paraId="033A341B" w14:textId="77777777" w:rsidR="00670D2B" w:rsidRPr="00221C72" w:rsidRDefault="00670D2B" w:rsidP="00670D2B">
      <w:pPr>
        <w:pStyle w:val="BodyText"/>
        <w:rPr>
          <w:sz w:val="20"/>
          <w:szCs w:val="20"/>
        </w:rPr>
      </w:pPr>
      <w:r w:rsidRPr="00221C72">
        <w:rPr>
          <w:sz w:val="20"/>
          <w:szCs w:val="20"/>
        </w:rPr>
        <w:t>*A first-degree relative is mother, father, daughter, son, sister or brother. A second-degree relative is grandmother, grandfather, granddaughter, grandson, aunt, uncle, niece, nephew, half-sister or half-brother.</w:t>
      </w:r>
    </w:p>
    <w:p w14:paraId="6AED939F" w14:textId="77777777" w:rsidR="00670D2B" w:rsidRDefault="00670D2B" w:rsidP="00670D2B">
      <w:pPr>
        <w:pStyle w:val="Heading2"/>
      </w:pPr>
    </w:p>
    <w:p w14:paraId="78EAD014" w14:textId="77777777" w:rsidR="00670D2B" w:rsidRDefault="00670D2B" w:rsidP="00670D2B">
      <w:pPr>
        <w:pStyle w:val="Heading2"/>
      </w:pPr>
    </w:p>
    <w:p w14:paraId="37453439" w14:textId="15B26C20" w:rsidR="00670D2B" w:rsidRPr="00D47172" w:rsidRDefault="00670D2B" w:rsidP="00670D2B">
      <w:pPr>
        <w:pStyle w:val="Heading2"/>
      </w:pPr>
      <w:r>
        <w:t xml:space="preserve">Breast </w:t>
      </w:r>
      <w:r w:rsidRPr="00D47172">
        <w:t>Screening Protocols by Risk Category</w:t>
      </w:r>
    </w:p>
    <w:p w14:paraId="74F14A0B" w14:textId="77777777" w:rsidR="00670D2B" w:rsidRDefault="00670D2B" w:rsidP="00670D2B">
      <w:pPr>
        <w:pStyle w:val="Heading3"/>
      </w:pPr>
      <w:r w:rsidRPr="00D47172">
        <w:t>Very High Risk</w:t>
      </w:r>
    </w:p>
    <w:p w14:paraId="67B271F1" w14:textId="77777777" w:rsidR="00670D2B" w:rsidRPr="00670D2B" w:rsidRDefault="00670D2B" w:rsidP="00670D2B">
      <w:pPr>
        <w:pStyle w:val="BulletedList"/>
        <w:spacing w:before="0" w:after="0"/>
        <w:ind w:left="714" w:hanging="357"/>
        <w:rPr>
          <w:sz w:val="20"/>
        </w:rPr>
      </w:pPr>
      <w:r w:rsidRPr="00670D2B">
        <w:rPr>
          <w:sz w:val="20"/>
        </w:rPr>
        <w:t>Heterozygous carrier of a pathogenic/likely pathogenic variant in </w:t>
      </w:r>
      <w:r w:rsidRPr="00670D2B">
        <w:rPr>
          <w:i/>
          <w:iCs/>
          <w:sz w:val="20"/>
        </w:rPr>
        <w:t>BRCA1, BRCA2, PALB2, STK11, PTEN and CDH1.</w:t>
      </w:r>
    </w:p>
    <w:p w14:paraId="43CA24C2" w14:textId="77777777" w:rsidR="00670D2B" w:rsidRPr="00670D2B" w:rsidRDefault="00670D2B" w:rsidP="00670D2B">
      <w:pPr>
        <w:pStyle w:val="BulletedList"/>
        <w:spacing w:before="0" w:after="0"/>
        <w:ind w:left="714" w:hanging="357"/>
        <w:rPr>
          <w:sz w:val="20"/>
        </w:rPr>
      </w:pPr>
      <w:r w:rsidRPr="00670D2B">
        <w:rPr>
          <w:sz w:val="20"/>
        </w:rPr>
        <w:t>Heterozygous carrier of c.7271T&gt;G </w:t>
      </w:r>
      <w:r w:rsidRPr="00670D2B">
        <w:rPr>
          <w:i/>
          <w:iCs/>
          <w:sz w:val="20"/>
        </w:rPr>
        <w:t>ATM</w:t>
      </w:r>
    </w:p>
    <w:p w14:paraId="3CF10A22" w14:textId="77777777" w:rsidR="00670D2B" w:rsidRPr="00670D2B" w:rsidRDefault="00670D2B" w:rsidP="00670D2B">
      <w:pPr>
        <w:pStyle w:val="BulletedList"/>
        <w:spacing w:before="0" w:after="0"/>
        <w:ind w:left="714" w:hanging="357"/>
        <w:rPr>
          <w:sz w:val="20"/>
        </w:rPr>
      </w:pPr>
      <w:r w:rsidRPr="00670D2B">
        <w:rPr>
          <w:sz w:val="20"/>
        </w:rPr>
        <w:t>Homozygous pathogenic/likely pathogenic variants in </w:t>
      </w:r>
      <w:r w:rsidRPr="00670D2B">
        <w:rPr>
          <w:i/>
          <w:iCs/>
          <w:sz w:val="20"/>
        </w:rPr>
        <w:t>ATM, CHEK2</w:t>
      </w:r>
    </w:p>
    <w:p w14:paraId="061E8429" w14:textId="77777777" w:rsidR="00670D2B" w:rsidRPr="00670D2B" w:rsidRDefault="00670D2B" w:rsidP="00670D2B">
      <w:pPr>
        <w:pStyle w:val="BulletedList"/>
        <w:spacing w:before="0" w:after="0"/>
        <w:ind w:left="714" w:hanging="357"/>
        <w:rPr>
          <w:sz w:val="20"/>
          <w:shd w:val="clear" w:color="auto" w:fill="FAF9F8"/>
        </w:rPr>
      </w:pPr>
      <w:r w:rsidRPr="00670D2B">
        <w:rPr>
          <w:sz w:val="20"/>
        </w:rPr>
        <w:t>Female with a lifetime risk of developing breast cancer of 40% or more (see category definitions)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118"/>
      </w:tblGrid>
      <w:tr w:rsidR="00670D2B" w:rsidRPr="00670D2B" w14:paraId="1916F8BD" w14:textId="77777777" w:rsidTr="71D21672">
        <w:trPr>
          <w:trHeight w:val="285"/>
        </w:trPr>
        <w:tc>
          <w:tcPr>
            <w:tcW w:w="1951" w:type="dxa"/>
          </w:tcPr>
          <w:p w14:paraId="5BC0C926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Age (years)</w:t>
            </w:r>
          </w:p>
        </w:tc>
        <w:tc>
          <w:tcPr>
            <w:tcW w:w="2977" w:type="dxa"/>
          </w:tcPr>
          <w:p w14:paraId="0DF18FB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Test</w:t>
            </w:r>
          </w:p>
        </w:tc>
        <w:tc>
          <w:tcPr>
            <w:tcW w:w="3118" w:type="dxa"/>
          </w:tcPr>
          <w:p w14:paraId="07245D2B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Frequency</w:t>
            </w:r>
          </w:p>
        </w:tc>
      </w:tr>
      <w:tr w:rsidR="00670D2B" w:rsidRPr="00670D2B" w14:paraId="2AB03682" w14:textId="77777777" w:rsidTr="71D21672">
        <w:tc>
          <w:tcPr>
            <w:tcW w:w="1951" w:type="dxa"/>
          </w:tcPr>
          <w:p w14:paraId="21513464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25-29*</w:t>
            </w:r>
          </w:p>
        </w:tc>
        <w:tc>
          <w:tcPr>
            <w:tcW w:w="2977" w:type="dxa"/>
          </w:tcPr>
          <w:p w14:paraId="4353AFFA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MRI</w:t>
            </w:r>
          </w:p>
        </w:tc>
        <w:tc>
          <w:tcPr>
            <w:tcW w:w="3118" w:type="dxa"/>
          </w:tcPr>
          <w:p w14:paraId="7C92E6E1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62E061A4" w14:textId="77777777" w:rsidTr="71D21672">
        <w:tc>
          <w:tcPr>
            <w:tcW w:w="1951" w:type="dxa"/>
          </w:tcPr>
          <w:p w14:paraId="4527DAF0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30-39</w:t>
            </w:r>
          </w:p>
        </w:tc>
        <w:tc>
          <w:tcPr>
            <w:tcW w:w="2977" w:type="dxa"/>
          </w:tcPr>
          <w:p w14:paraId="25070E7E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MRI</w:t>
            </w:r>
          </w:p>
        </w:tc>
        <w:tc>
          <w:tcPr>
            <w:tcW w:w="3118" w:type="dxa"/>
          </w:tcPr>
          <w:p w14:paraId="1AC3C16E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3201DB90" w14:textId="77777777" w:rsidTr="71D21672">
        <w:tc>
          <w:tcPr>
            <w:tcW w:w="1951" w:type="dxa"/>
          </w:tcPr>
          <w:p w14:paraId="550EB1C2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40-50</w:t>
            </w:r>
          </w:p>
        </w:tc>
        <w:tc>
          <w:tcPr>
            <w:tcW w:w="2977" w:type="dxa"/>
          </w:tcPr>
          <w:p w14:paraId="2FC64FD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MRI + mammography</w:t>
            </w:r>
          </w:p>
        </w:tc>
        <w:tc>
          <w:tcPr>
            <w:tcW w:w="3118" w:type="dxa"/>
          </w:tcPr>
          <w:p w14:paraId="65F2E32B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6F3B5FA5" w14:textId="77777777" w:rsidTr="71D21672">
        <w:tc>
          <w:tcPr>
            <w:tcW w:w="1951" w:type="dxa"/>
          </w:tcPr>
          <w:p w14:paraId="0C50EF38" w14:textId="62A948A1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51</w:t>
            </w:r>
            <w:r w:rsidR="00DD0D02">
              <w:rPr>
                <w:sz w:val="18"/>
                <w:szCs w:val="18"/>
                <w:shd w:val="clear" w:color="auto" w:fill="FAF9F8"/>
              </w:rPr>
              <w:t>+</w:t>
            </w:r>
          </w:p>
        </w:tc>
        <w:tc>
          <w:tcPr>
            <w:tcW w:w="2977" w:type="dxa"/>
          </w:tcPr>
          <w:p w14:paraId="17F5EAE6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 (+/-MRI)</w:t>
            </w:r>
          </w:p>
        </w:tc>
        <w:tc>
          <w:tcPr>
            <w:tcW w:w="3118" w:type="dxa"/>
          </w:tcPr>
          <w:p w14:paraId="50412BD5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</w:tbl>
    <w:p w14:paraId="0DEF3BC3" w14:textId="77777777" w:rsidR="00670D2B" w:rsidRPr="00221C72" w:rsidRDefault="00670D2B" w:rsidP="00670D2B">
      <w:pPr>
        <w:pStyle w:val="BodyText"/>
        <w:rPr>
          <w:sz w:val="20"/>
          <w:szCs w:val="20"/>
        </w:rPr>
      </w:pPr>
      <w:r>
        <w:t>*</w:t>
      </w:r>
      <w:r w:rsidRPr="71D21672">
        <w:rPr>
          <w:sz w:val="20"/>
          <w:szCs w:val="20"/>
        </w:rPr>
        <w:t xml:space="preserve">To qualify for screening under 30 years females must be a </w:t>
      </w:r>
      <w:r w:rsidRPr="71D21672">
        <w:rPr>
          <w:i/>
          <w:iCs/>
          <w:sz w:val="20"/>
          <w:szCs w:val="20"/>
        </w:rPr>
        <w:t>BRCA1</w:t>
      </w:r>
      <w:r w:rsidRPr="71D21672">
        <w:rPr>
          <w:sz w:val="20"/>
          <w:szCs w:val="20"/>
        </w:rPr>
        <w:t xml:space="preserve">, </w:t>
      </w:r>
      <w:r w:rsidRPr="71D21672">
        <w:rPr>
          <w:i/>
          <w:iCs/>
          <w:sz w:val="20"/>
          <w:szCs w:val="20"/>
        </w:rPr>
        <w:t>BRCA2</w:t>
      </w:r>
      <w:r w:rsidRPr="71D21672">
        <w:rPr>
          <w:sz w:val="20"/>
          <w:szCs w:val="20"/>
        </w:rPr>
        <w:t xml:space="preserve"> or </w:t>
      </w:r>
      <w:r w:rsidRPr="71D21672">
        <w:rPr>
          <w:i/>
          <w:iCs/>
          <w:sz w:val="20"/>
          <w:szCs w:val="20"/>
        </w:rPr>
        <w:t>PALB2</w:t>
      </w:r>
      <w:r w:rsidRPr="71D21672">
        <w:rPr>
          <w:sz w:val="20"/>
          <w:szCs w:val="20"/>
        </w:rPr>
        <w:t xml:space="preserve"> carrier AND have an 8% or greater 10 year risk at the age when entered. </w:t>
      </w:r>
    </w:p>
    <w:p w14:paraId="4766BC99" w14:textId="77777777" w:rsidR="00670D2B" w:rsidRDefault="00670D2B" w:rsidP="00670D2B">
      <w:pPr>
        <w:pStyle w:val="BodyText"/>
        <w:rPr>
          <w:sz w:val="20"/>
          <w:szCs w:val="20"/>
        </w:rPr>
      </w:pPr>
      <w:r w:rsidRPr="007D6D1B">
        <w:rPr>
          <w:sz w:val="20"/>
          <w:szCs w:val="20"/>
        </w:rPr>
        <w:t>Continue with MRI screening only if significant breast density persists.</w:t>
      </w:r>
    </w:p>
    <w:p w14:paraId="4B5E0A21" w14:textId="77777777" w:rsidR="00670D2B" w:rsidRPr="007D6D1B" w:rsidRDefault="00670D2B" w:rsidP="00670D2B">
      <w:pPr>
        <w:pStyle w:val="Heading3"/>
      </w:pPr>
      <w:r>
        <w:t xml:space="preserve">Very High Risk: </w:t>
      </w:r>
      <w:r w:rsidRPr="00490656">
        <w:rPr>
          <w:i/>
          <w:iCs/>
        </w:rPr>
        <w:t>TP53</w:t>
      </w:r>
      <w:r w:rsidRPr="00D47172">
        <w:t xml:space="preserve"> Carriers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118"/>
      </w:tblGrid>
      <w:tr w:rsidR="00670D2B" w:rsidRPr="00670D2B" w14:paraId="0F8D2BFD" w14:textId="77777777" w:rsidTr="71D21672">
        <w:tc>
          <w:tcPr>
            <w:tcW w:w="1951" w:type="dxa"/>
          </w:tcPr>
          <w:p w14:paraId="71B777F1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Age (years)</w:t>
            </w:r>
          </w:p>
        </w:tc>
        <w:tc>
          <w:tcPr>
            <w:tcW w:w="2977" w:type="dxa"/>
          </w:tcPr>
          <w:p w14:paraId="26813E3B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Test</w:t>
            </w:r>
          </w:p>
        </w:tc>
        <w:tc>
          <w:tcPr>
            <w:tcW w:w="3118" w:type="dxa"/>
          </w:tcPr>
          <w:p w14:paraId="473D23A4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Frequency</w:t>
            </w:r>
          </w:p>
        </w:tc>
      </w:tr>
      <w:tr w:rsidR="00670D2B" w:rsidRPr="00670D2B" w14:paraId="048B0F53" w14:textId="77777777" w:rsidTr="71D21672">
        <w:tc>
          <w:tcPr>
            <w:tcW w:w="1951" w:type="dxa"/>
          </w:tcPr>
          <w:p w14:paraId="35DD417B" w14:textId="3F9401E2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20</w:t>
            </w:r>
            <w:r w:rsidR="00DD0D02">
              <w:rPr>
                <w:sz w:val="18"/>
                <w:szCs w:val="18"/>
                <w:shd w:val="clear" w:color="auto" w:fill="FAF9F8"/>
              </w:rPr>
              <w:t>+</w:t>
            </w:r>
          </w:p>
        </w:tc>
        <w:tc>
          <w:tcPr>
            <w:tcW w:w="2977" w:type="dxa"/>
          </w:tcPr>
          <w:p w14:paraId="0425EAD9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MRI</w:t>
            </w:r>
          </w:p>
        </w:tc>
        <w:tc>
          <w:tcPr>
            <w:tcW w:w="3118" w:type="dxa"/>
          </w:tcPr>
          <w:p w14:paraId="3DAF2E2B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</w:tbl>
    <w:p w14:paraId="65D7A59D" w14:textId="77777777" w:rsidR="00670D2B" w:rsidRPr="00D47172" w:rsidRDefault="00670D2B" w:rsidP="00670D2B">
      <w:pPr>
        <w:pStyle w:val="Heading3"/>
        <w:rPr>
          <w:lang w:val="en-US" w:eastAsia="en-US" w:bidi="ar-SA"/>
        </w:rPr>
      </w:pPr>
      <w:r>
        <w:rPr>
          <w:lang w:val="en-US" w:eastAsia="en-US" w:bidi="ar-SA"/>
        </w:rPr>
        <w:t xml:space="preserve">Very High Risk: </w:t>
      </w:r>
      <w:r w:rsidRPr="00D47172">
        <w:rPr>
          <w:lang w:val="en-US" w:eastAsia="en-US" w:bidi="ar-SA"/>
        </w:rPr>
        <w:t xml:space="preserve">A-T homozygotes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118"/>
      </w:tblGrid>
      <w:tr w:rsidR="00670D2B" w:rsidRPr="00670D2B" w14:paraId="6D3950F0" w14:textId="77777777" w:rsidTr="71D21672">
        <w:tc>
          <w:tcPr>
            <w:tcW w:w="1951" w:type="dxa"/>
          </w:tcPr>
          <w:p w14:paraId="1CF9564C" w14:textId="77777777" w:rsidR="00670D2B" w:rsidRPr="00670D2B" w:rsidRDefault="00670D2B" w:rsidP="00A27AEB">
            <w:pPr>
              <w:pStyle w:val="CommentText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Age (years)</w:t>
            </w:r>
          </w:p>
        </w:tc>
        <w:tc>
          <w:tcPr>
            <w:tcW w:w="2977" w:type="dxa"/>
          </w:tcPr>
          <w:p w14:paraId="2470686B" w14:textId="77777777" w:rsidR="00670D2B" w:rsidRPr="00670D2B" w:rsidRDefault="00670D2B" w:rsidP="00A27AEB">
            <w:pPr>
              <w:pStyle w:val="CommentText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Test</w:t>
            </w:r>
          </w:p>
        </w:tc>
        <w:tc>
          <w:tcPr>
            <w:tcW w:w="3118" w:type="dxa"/>
          </w:tcPr>
          <w:p w14:paraId="07629D4D" w14:textId="77777777" w:rsidR="00670D2B" w:rsidRPr="00670D2B" w:rsidRDefault="00670D2B" w:rsidP="00A27AEB">
            <w:pPr>
              <w:pStyle w:val="CommentText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Frequency</w:t>
            </w:r>
          </w:p>
        </w:tc>
      </w:tr>
      <w:tr w:rsidR="00670D2B" w:rsidRPr="00670D2B" w14:paraId="23D1B32D" w14:textId="77777777" w:rsidTr="71D21672">
        <w:tc>
          <w:tcPr>
            <w:tcW w:w="1951" w:type="dxa"/>
          </w:tcPr>
          <w:p w14:paraId="4AE2E958" w14:textId="4D37CDC6" w:rsidR="00670D2B" w:rsidRPr="00670D2B" w:rsidRDefault="00670D2B" w:rsidP="00A27AEB">
            <w:pPr>
              <w:pStyle w:val="CommentText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25</w:t>
            </w:r>
            <w:r w:rsidR="00DD0D02">
              <w:rPr>
                <w:sz w:val="18"/>
                <w:szCs w:val="18"/>
                <w:shd w:val="clear" w:color="auto" w:fill="FAF9F8"/>
              </w:rPr>
              <w:t>+</w:t>
            </w:r>
          </w:p>
        </w:tc>
        <w:tc>
          <w:tcPr>
            <w:tcW w:w="2977" w:type="dxa"/>
          </w:tcPr>
          <w:p w14:paraId="7E1EAD02" w14:textId="77777777" w:rsidR="00670D2B" w:rsidRPr="00670D2B" w:rsidRDefault="00670D2B" w:rsidP="00A27AEB">
            <w:pPr>
              <w:pStyle w:val="CommentText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MRI</w:t>
            </w:r>
          </w:p>
        </w:tc>
        <w:tc>
          <w:tcPr>
            <w:tcW w:w="3118" w:type="dxa"/>
          </w:tcPr>
          <w:p w14:paraId="79E00FF9" w14:textId="77777777" w:rsidR="00670D2B" w:rsidRPr="00670D2B" w:rsidRDefault="00670D2B" w:rsidP="00A27AEB">
            <w:pPr>
              <w:pStyle w:val="CommentText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</w:tbl>
    <w:p w14:paraId="3ED39898" w14:textId="77777777" w:rsidR="00670D2B" w:rsidRDefault="00670D2B" w:rsidP="00670D2B">
      <w:pPr>
        <w:pStyle w:val="BodyText"/>
        <w:rPr>
          <w:color w:val="FF0000"/>
          <w:sz w:val="20"/>
          <w:szCs w:val="20"/>
        </w:rPr>
      </w:pPr>
    </w:p>
    <w:p w14:paraId="5691D17D" w14:textId="77777777" w:rsidR="00670D2B" w:rsidRPr="00221C72" w:rsidRDefault="00670D2B" w:rsidP="00670D2B">
      <w:pPr>
        <w:pStyle w:val="BodyText"/>
        <w:rPr>
          <w:b/>
          <w:bCs/>
          <w:sz w:val="20"/>
          <w:szCs w:val="20"/>
        </w:rPr>
      </w:pPr>
      <w:r w:rsidRPr="00221C72">
        <w:rPr>
          <w:b/>
          <w:bCs/>
          <w:sz w:val="20"/>
          <w:szCs w:val="20"/>
        </w:rPr>
        <w:t xml:space="preserve">Untested </w:t>
      </w:r>
      <w:r>
        <w:rPr>
          <w:b/>
          <w:bCs/>
          <w:sz w:val="20"/>
          <w:szCs w:val="20"/>
        </w:rPr>
        <w:t>females</w:t>
      </w:r>
      <w:r w:rsidRPr="00221C72">
        <w:rPr>
          <w:b/>
          <w:bCs/>
          <w:sz w:val="20"/>
          <w:szCs w:val="20"/>
        </w:rPr>
        <w:t xml:space="preserve"> with 50% or greater risk of a mutation in a high-risk gene</w:t>
      </w:r>
    </w:p>
    <w:p w14:paraId="331E932F" w14:textId="77777777" w:rsidR="00670D2B" w:rsidRPr="00221C72" w:rsidRDefault="00670D2B" w:rsidP="00670D2B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221C72">
        <w:rPr>
          <w:sz w:val="20"/>
          <w:szCs w:val="20"/>
        </w:rPr>
        <w:t>Very High Risk protocol up to age 50 when this should be reviewed.</w:t>
      </w:r>
    </w:p>
    <w:p w14:paraId="370145B2" w14:textId="77777777" w:rsidR="00670D2B" w:rsidRPr="00221C72" w:rsidRDefault="00670D2B" w:rsidP="00670D2B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221C72">
        <w:rPr>
          <w:sz w:val="20"/>
          <w:szCs w:val="20"/>
        </w:rPr>
        <w:t xml:space="preserve">If the </w:t>
      </w:r>
      <w:r>
        <w:rPr>
          <w:sz w:val="20"/>
          <w:szCs w:val="20"/>
        </w:rPr>
        <w:t>female</w:t>
      </w:r>
      <w:r w:rsidRPr="00221C72">
        <w:rPr>
          <w:sz w:val="20"/>
          <w:szCs w:val="20"/>
        </w:rPr>
        <w:t xml:space="preserve"> remains untested after age 50 years, they move to the High Risk protocol.</w:t>
      </w:r>
    </w:p>
    <w:p w14:paraId="46DB8C6A" w14:textId="77777777" w:rsidR="00670D2B" w:rsidRDefault="00670D2B" w:rsidP="00670D2B">
      <w:pPr>
        <w:pStyle w:val="Heading3"/>
        <w:rPr>
          <w:lang w:val="en-US" w:eastAsia="en-US" w:bidi="ar-SA"/>
        </w:rPr>
      </w:pPr>
      <w:r w:rsidRPr="00D47172">
        <w:rPr>
          <w:lang w:val="en-US" w:eastAsia="en-US" w:bidi="ar-SA"/>
        </w:rPr>
        <w:t xml:space="preserve">High risk  </w:t>
      </w:r>
    </w:p>
    <w:p w14:paraId="6FA694AC" w14:textId="77777777" w:rsidR="00670D2B" w:rsidRPr="00D867C2" w:rsidRDefault="00670D2B" w:rsidP="00670D2B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D867C2">
        <w:rPr>
          <w:sz w:val="20"/>
          <w:szCs w:val="20"/>
        </w:rPr>
        <w:t xml:space="preserve">Equates to a lifetime risk of developing breast cancer of </w:t>
      </w:r>
      <w:r w:rsidRPr="00D867C2">
        <w:rPr>
          <w:spacing w:val="-5"/>
          <w:sz w:val="20"/>
          <w:szCs w:val="20"/>
        </w:rPr>
        <w:t xml:space="preserve">30% </w:t>
      </w:r>
      <w:r w:rsidRPr="00D867C2">
        <w:rPr>
          <w:sz w:val="20"/>
          <w:szCs w:val="20"/>
        </w:rPr>
        <w:t>or</w:t>
      </w:r>
      <w:r w:rsidRPr="00D867C2">
        <w:rPr>
          <w:spacing w:val="-1"/>
          <w:sz w:val="20"/>
          <w:szCs w:val="20"/>
        </w:rPr>
        <w:t xml:space="preserve"> </w:t>
      </w:r>
      <w:r w:rsidRPr="00D867C2">
        <w:rPr>
          <w:sz w:val="20"/>
          <w:szCs w:val="20"/>
        </w:rPr>
        <w:t>more, or greater than 8% 10-year risk between 40 and 50 years of</w:t>
      </w:r>
      <w:r w:rsidRPr="00D867C2">
        <w:rPr>
          <w:spacing w:val="-2"/>
          <w:sz w:val="20"/>
          <w:szCs w:val="20"/>
        </w:rPr>
        <w:t xml:space="preserve"> </w:t>
      </w:r>
      <w:r w:rsidRPr="00D867C2">
        <w:rPr>
          <w:spacing w:val="-6"/>
          <w:sz w:val="20"/>
          <w:szCs w:val="20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118"/>
      </w:tblGrid>
      <w:tr w:rsidR="00670D2B" w:rsidRPr="00670D2B" w14:paraId="07BFAF2C" w14:textId="77777777" w:rsidTr="00A27AEB">
        <w:tc>
          <w:tcPr>
            <w:tcW w:w="1951" w:type="dxa"/>
          </w:tcPr>
          <w:p w14:paraId="64A28657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Age (years)</w:t>
            </w:r>
          </w:p>
        </w:tc>
        <w:tc>
          <w:tcPr>
            <w:tcW w:w="2977" w:type="dxa"/>
          </w:tcPr>
          <w:p w14:paraId="4A089B2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Test</w:t>
            </w:r>
          </w:p>
        </w:tc>
        <w:tc>
          <w:tcPr>
            <w:tcW w:w="3118" w:type="dxa"/>
          </w:tcPr>
          <w:p w14:paraId="47364346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Frequency</w:t>
            </w:r>
          </w:p>
        </w:tc>
      </w:tr>
      <w:tr w:rsidR="00670D2B" w:rsidRPr="00670D2B" w14:paraId="45997075" w14:textId="77777777" w:rsidTr="00A27AEB">
        <w:tc>
          <w:tcPr>
            <w:tcW w:w="1951" w:type="dxa"/>
          </w:tcPr>
          <w:p w14:paraId="5FAFDD2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35-39*</w:t>
            </w:r>
          </w:p>
        </w:tc>
        <w:tc>
          <w:tcPr>
            <w:tcW w:w="2977" w:type="dxa"/>
          </w:tcPr>
          <w:p w14:paraId="78C548BC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43844D62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Biennial</w:t>
            </w:r>
          </w:p>
        </w:tc>
      </w:tr>
      <w:tr w:rsidR="00670D2B" w:rsidRPr="00670D2B" w14:paraId="1DF95B65" w14:textId="77777777" w:rsidTr="00A27AEB">
        <w:tc>
          <w:tcPr>
            <w:tcW w:w="1951" w:type="dxa"/>
          </w:tcPr>
          <w:p w14:paraId="2A7C19C3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40-49</w:t>
            </w:r>
          </w:p>
        </w:tc>
        <w:tc>
          <w:tcPr>
            <w:tcW w:w="2977" w:type="dxa"/>
          </w:tcPr>
          <w:p w14:paraId="75F51ED6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57ACDF24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6AD6CD03" w14:textId="77777777" w:rsidTr="00A27AEB">
        <w:tc>
          <w:tcPr>
            <w:tcW w:w="1951" w:type="dxa"/>
          </w:tcPr>
          <w:p w14:paraId="0233FA14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50-59</w:t>
            </w:r>
          </w:p>
        </w:tc>
        <w:tc>
          <w:tcPr>
            <w:tcW w:w="2977" w:type="dxa"/>
          </w:tcPr>
          <w:p w14:paraId="1F0D7037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6196A222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33A864A7" w14:textId="77777777" w:rsidTr="00A27AEB">
        <w:tc>
          <w:tcPr>
            <w:tcW w:w="1951" w:type="dxa"/>
          </w:tcPr>
          <w:p w14:paraId="4D83E40D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60-70</w:t>
            </w:r>
          </w:p>
        </w:tc>
        <w:tc>
          <w:tcPr>
            <w:tcW w:w="2977" w:type="dxa"/>
          </w:tcPr>
          <w:p w14:paraId="57D09938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7892D2A8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18 monthly</w:t>
            </w:r>
          </w:p>
        </w:tc>
      </w:tr>
    </w:tbl>
    <w:p w14:paraId="5E2A2A9D" w14:textId="77777777" w:rsidR="00670D2B" w:rsidRDefault="00670D2B" w:rsidP="00670D2B">
      <w:pPr>
        <w:adjustRightInd w:val="0"/>
        <w:spacing w:after="240" w:line="200" w:lineRule="atLeast"/>
        <w:rPr>
          <w:rFonts w:eastAsiaTheme="minorHAnsi"/>
          <w:sz w:val="20"/>
          <w:szCs w:val="20"/>
          <w:lang w:val="en-US" w:eastAsia="en-US" w:bidi="ar-SA"/>
        </w:rPr>
      </w:pPr>
      <w:r w:rsidRPr="007D6D1B">
        <w:rPr>
          <w:rFonts w:eastAsiaTheme="minorHAnsi"/>
          <w:sz w:val="20"/>
          <w:szCs w:val="20"/>
          <w:lang w:val="en-US" w:eastAsia="en-US" w:bidi="ar-SA"/>
        </w:rPr>
        <w:t xml:space="preserve">*Screening starts at 35 years or 5 years earlier than the youngest age of onset in the family (but not before 30 years) </w:t>
      </w:r>
    </w:p>
    <w:p w14:paraId="12B1C1F9" w14:textId="77777777" w:rsidR="00670D2B" w:rsidRDefault="00670D2B" w:rsidP="00670D2B">
      <w:pPr>
        <w:pStyle w:val="Heading3"/>
        <w:rPr>
          <w:lang w:val="en-US" w:eastAsia="en-US" w:bidi="ar-SA"/>
        </w:rPr>
      </w:pPr>
      <w:r w:rsidRPr="00D47172">
        <w:rPr>
          <w:lang w:val="en-US" w:eastAsia="en-US" w:bidi="ar-SA"/>
        </w:rPr>
        <w:t>Moderate risk</w:t>
      </w:r>
    </w:p>
    <w:p w14:paraId="486B2760" w14:textId="77777777" w:rsidR="00670D2B" w:rsidRDefault="00670D2B" w:rsidP="00670D2B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D867C2">
        <w:rPr>
          <w:sz w:val="20"/>
          <w:szCs w:val="20"/>
        </w:rPr>
        <w:t xml:space="preserve">Equates to a lifetime risk of breast cancer of greater than 17% but </w:t>
      </w:r>
      <w:r w:rsidRPr="00D867C2">
        <w:rPr>
          <w:spacing w:val="-4"/>
          <w:sz w:val="20"/>
          <w:szCs w:val="20"/>
        </w:rPr>
        <w:t xml:space="preserve">less </w:t>
      </w:r>
      <w:r w:rsidRPr="00D867C2">
        <w:rPr>
          <w:sz w:val="20"/>
          <w:szCs w:val="20"/>
        </w:rPr>
        <w:t>than 30%,</w:t>
      </w:r>
    </w:p>
    <w:p w14:paraId="51D27760" w14:textId="77777777" w:rsidR="00670D2B" w:rsidRDefault="00670D2B" w:rsidP="00670D2B">
      <w:pPr>
        <w:pStyle w:val="BodyText"/>
        <w:ind w:left="720"/>
        <w:rPr>
          <w:sz w:val="20"/>
          <w:szCs w:val="20"/>
        </w:rPr>
      </w:pPr>
      <w:r w:rsidRPr="00D867C2">
        <w:rPr>
          <w:sz w:val="20"/>
          <w:szCs w:val="20"/>
        </w:rPr>
        <w:t xml:space="preserve">or </w:t>
      </w:r>
    </w:p>
    <w:p w14:paraId="123A6E20" w14:textId="77777777" w:rsidR="00670D2B" w:rsidRPr="00D867C2" w:rsidRDefault="00670D2B" w:rsidP="00670D2B">
      <w:pPr>
        <w:pStyle w:val="BodyText"/>
        <w:numPr>
          <w:ilvl w:val="0"/>
          <w:numId w:val="6"/>
        </w:numPr>
        <w:rPr>
          <w:sz w:val="20"/>
          <w:szCs w:val="20"/>
        </w:rPr>
      </w:pPr>
      <w:r w:rsidRPr="00D867C2">
        <w:rPr>
          <w:sz w:val="20"/>
          <w:szCs w:val="20"/>
        </w:rPr>
        <w:t xml:space="preserve">a 10-year risk between 40 and 50 years of age which is greater than </w:t>
      </w:r>
      <w:r w:rsidRPr="00D867C2">
        <w:rPr>
          <w:spacing w:val="-6"/>
          <w:sz w:val="20"/>
          <w:szCs w:val="20"/>
        </w:rPr>
        <w:t xml:space="preserve">3% </w:t>
      </w:r>
      <w:r w:rsidRPr="00D867C2">
        <w:rPr>
          <w:sz w:val="20"/>
          <w:szCs w:val="20"/>
        </w:rPr>
        <w:t>but less than</w:t>
      </w:r>
      <w:r w:rsidRPr="00D867C2">
        <w:rPr>
          <w:spacing w:val="-1"/>
          <w:sz w:val="20"/>
          <w:szCs w:val="20"/>
        </w:rPr>
        <w:t xml:space="preserve"> </w:t>
      </w:r>
      <w:r w:rsidRPr="00D867C2">
        <w:rPr>
          <w:sz w:val="20"/>
          <w:szCs w:val="20"/>
        </w:rPr>
        <w:t>8%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</w:tblGrid>
      <w:tr w:rsidR="00670D2B" w:rsidRPr="00670D2B" w14:paraId="322EFCDF" w14:textId="77777777" w:rsidTr="00A27AEB">
        <w:tc>
          <w:tcPr>
            <w:tcW w:w="1526" w:type="dxa"/>
          </w:tcPr>
          <w:p w14:paraId="669F89B4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Age (years)</w:t>
            </w:r>
          </w:p>
        </w:tc>
        <w:tc>
          <w:tcPr>
            <w:tcW w:w="3402" w:type="dxa"/>
          </w:tcPr>
          <w:p w14:paraId="1172B48E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Test</w:t>
            </w:r>
          </w:p>
        </w:tc>
        <w:tc>
          <w:tcPr>
            <w:tcW w:w="3118" w:type="dxa"/>
          </w:tcPr>
          <w:p w14:paraId="78857038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b/>
                <w:sz w:val="18"/>
                <w:szCs w:val="18"/>
                <w:shd w:val="clear" w:color="auto" w:fill="FAF9F8"/>
              </w:rPr>
            </w:pPr>
            <w:r w:rsidRPr="00670D2B">
              <w:rPr>
                <w:b/>
                <w:sz w:val="18"/>
                <w:szCs w:val="18"/>
                <w:shd w:val="clear" w:color="auto" w:fill="FAF9F8"/>
              </w:rPr>
              <w:t>Frequency</w:t>
            </w:r>
          </w:p>
        </w:tc>
      </w:tr>
      <w:tr w:rsidR="00670D2B" w:rsidRPr="00670D2B" w14:paraId="564AE0AB" w14:textId="77777777" w:rsidTr="00A27AEB">
        <w:tc>
          <w:tcPr>
            <w:tcW w:w="1526" w:type="dxa"/>
          </w:tcPr>
          <w:p w14:paraId="4FA7B979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35-39*</w:t>
            </w:r>
          </w:p>
        </w:tc>
        <w:tc>
          <w:tcPr>
            <w:tcW w:w="3402" w:type="dxa"/>
          </w:tcPr>
          <w:p w14:paraId="70833537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749D6C26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Biennial</w:t>
            </w:r>
          </w:p>
        </w:tc>
      </w:tr>
      <w:tr w:rsidR="00670D2B" w:rsidRPr="00670D2B" w14:paraId="11F9FCDB" w14:textId="77777777" w:rsidTr="00A27AEB">
        <w:tc>
          <w:tcPr>
            <w:tcW w:w="1526" w:type="dxa"/>
          </w:tcPr>
          <w:p w14:paraId="1199EB7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40-49</w:t>
            </w:r>
          </w:p>
        </w:tc>
        <w:tc>
          <w:tcPr>
            <w:tcW w:w="3402" w:type="dxa"/>
          </w:tcPr>
          <w:p w14:paraId="58EC25C7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7672176F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Annual</w:t>
            </w:r>
          </w:p>
        </w:tc>
      </w:tr>
      <w:tr w:rsidR="00670D2B" w:rsidRPr="00670D2B" w14:paraId="49BEA912" w14:textId="77777777" w:rsidTr="00A27AEB">
        <w:tc>
          <w:tcPr>
            <w:tcW w:w="1526" w:type="dxa"/>
          </w:tcPr>
          <w:p w14:paraId="3E661707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50-70</w:t>
            </w:r>
          </w:p>
        </w:tc>
        <w:tc>
          <w:tcPr>
            <w:tcW w:w="3402" w:type="dxa"/>
          </w:tcPr>
          <w:p w14:paraId="6D8E4D98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Mammography</w:t>
            </w:r>
          </w:p>
        </w:tc>
        <w:tc>
          <w:tcPr>
            <w:tcW w:w="3118" w:type="dxa"/>
          </w:tcPr>
          <w:p w14:paraId="0743A932" w14:textId="77777777" w:rsidR="00670D2B" w:rsidRPr="00670D2B" w:rsidRDefault="00670D2B" w:rsidP="00A27AEB">
            <w:pPr>
              <w:pStyle w:val="CommentText"/>
              <w:spacing w:before="40" w:after="40"/>
              <w:jc w:val="center"/>
              <w:rPr>
                <w:sz w:val="18"/>
                <w:szCs w:val="18"/>
                <w:shd w:val="clear" w:color="auto" w:fill="FAF9F8"/>
              </w:rPr>
            </w:pPr>
            <w:r w:rsidRPr="00670D2B">
              <w:rPr>
                <w:sz w:val="18"/>
                <w:szCs w:val="18"/>
                <w:shd w:val="clear" w:color="auto" w:fill="FAF9F8"/>
              </w:rPr>
              <w:t>3 yearly (NBSP)</w:t>
            </w:r>
          </w:p>
        </w:tc>
      </w:tr>
    </w:tbl>
    <w:p w14:paraId="32690370" w14:textId="77777777" w:rsidR="00670D2B" w:rsidRDefault="00670D2B" w:rsidP="00670D2B">
      <w:pPr>
        <w:adjustRightInd w:val="0"/>
        <w:spacing w:after="240" w:line="200" w:lineRule="atLeast"/>
        <w:rPr>
          <w:rFonts w:eastAsiaTheme="minorHAnsi"/>
          <w:sz w:val="20"/>
          <w:szCs w:val="20"/>
          <w:lang w:val="en-US" w:eastAsia="en-US" w:bidi="ar-SA"/>
        </w:rPr>
      </w:pPr>
      <w:r w:rsidRPr="007D6D1B">
        <w:rPr>
          <w:rFonts w:eastAsiaTheme="minorHAnsi"/>
          <w:position w:val="10"/>
          <w:sz w:val="20"/>
          <w:szCs w:val="20"/>
          <w:lang w:val="en-US" w:eastAsia="en-US" w:bidi="ar-SA"/>
        </w:rPr>
        <w:t>*</w:t>
      </w:r>
      <w:r w:rsidRPr="007D6D1B">
        <w:rPr>
          <w:rFonts w:eastAsiaTheme="minorHAnsi"/>
          <w:sz w:val="20"/>
          <w:szCs w:val="20"/>
          <w:lang w:val="en-US" w:eastAsia="en-US" w:bidi="ar-SA"/>
        </w:rPr>
        <w:t>Screening starts at 40 years or 5 years earlier than the youngest age of onset in the family (but not before 35 years)</w:t>
      </w:r>
    </w:p>
    <w:p w14:paraId="01B5A8BF" w14:textId="77777777" w:rsidR="00670D2B" w:rsidRPr="00221C72" w:rsidRDefault="00670D2B" w:rsidP="00670D2B">
      <w:pPr>
        <w:pStyle w:val="Heading3"/>
      </w:pPr>
      <w:r w:rsidRPr="00221C72">
        <w:t>Low Risk (similar to population risk)</w:t>
      </w:r>
    </w:p>
    <w:p w14:paraId="31175EAF" w14:textId="27C0420B" w:rsidR="00670D2B" w:rsidRPr="00221C72" w:rsidRDefault="00670D2B" w:rsidP="00670D2B">
      <w:pPr>
        <w:pStyle w:val="ListParagraph"/>
        <w:numPr>
          <w:ilvl w:val="0"/>
          <w:numId w:val="9"/>
        </w:numPr>
        <w:rPr>
          <w:lang w:val="en-US" w:eastAsia="en-US" w:bidi="ar-SA"/>
        </w:rPr>
      </w:pPr>
      <w:r w:rsidRPr="00221C72">
        <w:rPr>
          <w:sz w:val="20"/>
          <w:szCs w:val="20"/>
        </w:rPr>
        <w:t xml:space="preserve">Equates to 17% or </w:t>
      </w:r>
      <w:r w:rsidRPr="00221C72">
        <w:rPr>
          <w:spacing w:val="-5"/>
          <w:sz w:val="20"/>
          <w:szCs w:val="20"/>
        </w:rPr>
        <w:t xml:space="preserve">less </w:t>
      </w:r>
      <w:r w:rsidRPr="00221C72">
        <w:rPr>
          <w:sz w:val="20"/>
          <w:szCs w:val="20"/>
        </w:rPr>
        <w:t>lifetime</w:t>
      </w:r>
      <w:r w:rsidRPr="00221C72">
        <w:rPr>
          <w:spacing w:val="-3"/>
          <w:sz w:val="20"/>
          <w:szCs w:val="20"/>
        </w:rPr>
        <w:t xml:space="preserve"> </w:t>
      </w:r>
      <w:r w:rsidRPr="00221C72">
        <w:rPr>
          <w:sz w:val="20"/>
          <w:szCs w:val="20"/>
        </w:rPr>
        <w:t>risk</w:t>
      </w:r>
      <w:r>
        <w:rPr>
          <w:sz w:val="20"/>
          <w:szCs w:val="20"/>
        </w:rPr>
        <w:t xml:space="preserve"> (NBSC every 3 years from 50 to 70 years)</w:t>
      </w:r>
    </w:p>
    <w:p w14:paraId="75EEDD97" w14:textId="77777777" w:rsidR="00670D2B" w:rsidRDefault="00670D2B" w:rsidP="00670D2B">
      <w:pPr>
        <w:pStyle w:val="BodyText"/>
        <w:rPr>
          <w:b/>
          <w:bCs/>
          <w:lang w:bidi="ar-SA"/>
        </w:rPr>
      </w:pPr>
    </w:p>
    <w:p w14:paraId="67B7E8A2" w14:textId="77777777" w:rsidR="00670D2B" w:rsidRPr="00670D2B" w:rsidRDefault="00670D2B" w:rsidP="00670D2B">
      <w:pPr>
        <w:pStyle w:val="BodyText"/>
        <w:rPr>
          <w:b/>
          <w:bCs/>
          <w:i/>
          <w:iCs/>
          <w:sz w:val="20"/>
          <w:szCs w:val="20"/>
          <w:lang w:bidi="ar-SA"/>
        </w:rPr>
      </w:pPr>
      <w:bookmarkStart w:id="2" w:name="_Hlk128996042"/>
      <w:r w:rsidRPr="00670D2B">
        <w:rPr>
          <w:b/>
          <w:bCs/>
          <w:i/>
          <w:iCs/>
          <w:sz w:val="20"/>
          <w:szCs w:val="20"/>
          <w:lang w:bidi="ar-SA"/>
        </w:rPr>
        <w:t>Screening age 71 or over</w:t>
      </w:r>
    </w:p>
    <w:p w14:paraId="172A63C9" w14:textId="46E4DB9A" w:rsidR="00C066AE" w:rsidRPr="00670D2B" w:rsidRDefault="00670D2B" w:rsidP="00670D2B">
      <w:pPr>
        <w:pStyle w:val="BodyText"/>
        <w:rPr>
          <w:sz w:val="20"/>
          <w:szCs w:val="20"/>
        </w:rPr>
      </w:pPr>
      <w:r w:rsidRPr="71D21672">
        <w:rPr>
          <w:sz w:val="20"/>
          <w:szCs w:val="20"/>
          <w:lang w:bidi="ar-SA"/>
        </w:rPr>
        <w:t>Women age 71 or over no longer receive breast screening invitations from the National Breast Screening programme but can self-refer for breast screening every 3 years. Women assessed to be very high risk</w:t>
      </w:r>
      <w:r w:rsidR="00B16678" w:rsidRPr="71D21672">
        <w:rPr>
          <w:sz w:val="20"/>
          <w:szCs w:val="20"/>
          <w:lang w:bidi="ar-SA"/>
        </w:rPr>
        <w:t xml:space="preserve"> will continue to receive invites for annual screening.</w:t>
      </w:r>
      <w:r w:rsidRPr="71D21672">
        <w:rPr>
          <w:sz w:val="20"/>
          <w:szCs w:val="20"/>
          <w:lang w:bidi="ar-SA"/>
        </w:rPr>
        <w:t>.</w:t>
      </w:r>
      <w:bookmarkEnd w:id="2"/>
    </w:p>
    <w:sectPr w:rsidR="00C066AE" w:rsidRPr="00670D2B" w:rsidSect="00670D2B"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465"/>
    <w:multiLevelType w:val="multilevel"/>
    <w:tmpl w:val="4E8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6020"/>
    <w:multiLevelType w:val="hybridMultilevel"/>
    <w:tmpl w:val="AC4ED7A8"/>
    <w:lvl w:ilvl="0" w:tplc="5D5C0F9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CFC"/>
    <w:multiLevelType w:val="hybridMultilevel"/>
    <w:tmpl w:val="6FFE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67A0"/>
    <w:multiLevelType w:val="hybridMultilevel"/>
    <w:tmpl w:val="C1929388"/>
    <w:lvl w:ilvl="0" w:tplc="37C854A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4" w15:restartNumberingAfterBreak="0">
    <w:nsid w:val="4276768C"/>
    <w:multiLevelType w:val="hybridMultilevel"/>
    <w:tmpl w:val="2056D754"/>
    <w:lvl w:ilvl="0" w:tplc="75EC500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B78BDE4">
      <w:numFmt w:val="bullet"/>
      <w:lvlText w:val="•"/>
      <w:lvlJc w:val="left"/>
      <w:pPr>
        <w:ind w:left="594" w:hanging="360"/>
      </w:pPr>
      <w:rPr>
        <w:rFonts w:hint="default"/>
        <w:lang w:val="en-GB" w:eastAsia="en-GB" w:bidi="en-GB"/>
      </w:rPr>
    </w:lvl>
    <w:lvl w:ilvl="2" w:tplc="7CB4872A">
      <w:numFmt w:val="bullet"/>
      <w:lvlText w:val="•"/>
      <w:lvlJc w:val="left"/>
      <w:pPr>
        <w:ind w:left="835" w:hanging="360"/>
      </w:pPr>
      <w:rPr>
        <w:rFonts w:hint="default"/>
        <w:lang w:val="en-GB" w:eastAsia="en-GB" w:bidi="en-GB"/>
      </w:rPr>
    </w:lvl>
    <w:lvl w:ilvl="3" w:tplc="D456A3D2">
      <w:numFmt w:val="bullet"/>
      <w:lvlText w:val="•"/>
      <w:lvlJc w:val="left"/>
      <w:pPr>
        <w:ind w:left="1076" w:hanging="360"/>
      </w:pPr>
      <w:rPr>
        <w:rFonts w:hint="default"/>
        <w:lang w:val="en-GB" w:eastAsia="en-GB" w:bidi="en-GB"/>
      </w:rPr>
    </w:lvl>
    <w:lvl w:ilvl="4" w:tplc="4E523190">
      <w:numFmt w:val="bullet"/>
      <w:lvlText w:val="•"/>
      <w:lvlJc w:val="left"/>
      <w:pPr>
        <w:ind w:left="1317" w:hanging="360"/>
      </w:pPr>
      <w:rPr>
        <w:rFonts w:hint="default"/>
        <w:lang w:val="en-GB" w:eastAsia="en-GB" w:bidi="en-GB"/>
      </w:rPr>
    </w:lvl>
    <w:lvl w:ilvl="5" w:tplc="D7464910">
      <w:numFmt w:val="bullet"/>
      <w:lvlText w:val="•"/>
      <w:lvlJc w:val="left"/>
      <w:pPr>
        <w:ind w:left="1558" w:hanging="360"/>
      </w:pPr>
      <w:rPr>
        <w:rFonts w:hint="default"/>
        <w:lang w:val="en-GB" w:eastAsia="en-GB" w:bidi="en-GB"/>
      </w:rPr>
    </w:lvl>
    <w:lvl w:ilvl="6" w:tplc="431CD8D8">
      <w:numFmt w:val="bullet"/>
      <w:lvlText w:val="•"/>
      <w:lvlJc w:val="left"/>
      <w:pPr>
        <w:ind w:left="1799" w:hanging="360"/>
      </w:pPr>
      <w:rPr>
        <w:rFonts w:hint="default"/>
        <w:lang w:val="en-GB" w:eastAsia="en-GB" w:bidi="en-GB"/>
      </w:rPr>
    </w:lvl>
    <w:lvl w:ilvl="7" w:tplc="4E3E2950">
      <w:numFmt w:val="bullet"/>
      <w:lvlText w:val="•"/>
      <w:lvlJc w:val="left"/>
      <w:pPr>
        <w:ind w:left="2040" w:hanging="360"/>
      </w:pPr>
      <w:rPr>
        <w:rFonts w:hint="default"/>
        <w:lang w:val="en-GB" w:eastAsia="en-GB" w:bidi="en-GB"/>
      </w:rPr>
    </w:lvl>
    <w:lvl w:ilvl="8" w:tplc="2E224C1E">
      <w:numFmt w:val="bullet"/>
      <w:lvlText w:val="•"/>
      <w:lvlJc w:val="left"/>
      <w:pPr>
        <w:ind w:left="2281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2C9492B"/>
    <w:multiLevelType w:val="hybridMultilevel"/>
    <w:tmpl w:val="5E3C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7A8B"/>
    <w:multiLevelType w:val="hybridMultilevel"/>
    <w:tmpl w:val="11182932"/>
    <w:lvl w:ilvl="0" w:tplc="CB3E987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9A5A0554">
      <w:numFmt w:val="bullet"/>
      <w:lvlText w:val="•"/>
      <w:lvlJc w:val="left"/>
      <w:pPr>
        <w:ind w:left="868" w:hanging="360"/>
      </w:pPr>
      <w:rPr>
        <w:rFonts w:hint="default"/>
        <w:lang w:val="en-GB" w:eastAsia="en-GB" w:bidi="en-GB"/>
      </w:rPr>
    </w:lvl>
    <w:lvl w:ilvl="2" w:tplc="E8F22374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3" w:tplc="88B4FAF2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4" w:tplc="B9B62BF2">
      <w:numFmt w:val="bullet"/>
      <w:lvlText w:val="•"/>
      <w:lvlJc w:val="left"/>
      <w:pPr>
        <w:ind w:left="1793" w:hanging="360"/>
      </w:pPr>
      <w:rPr>
        <w:rFonts w:hint="default"/>
        <w:lang w:val="en-GB" w:eastAsia="en-GB" w:bidi="en-GB"/>
      </w:rPr>
    </w:lvl>
    <w:lvl w:ilvl="5" w:tplc="4B0A3430">
      <w:numFmt w:val="bullet"/>
      <w:lvlText w:val="•"/>
      <w:lvlJc w:val="left"/>
      <w:pPr>
        <w:ind w:left="2101" w:hanging="360"/>
      </w:pPr>
      <w:rPr>
        <w:rFonts w:hint="default"/>
        <w:lang w:val="en-GB" w:eastAsia="en-GB" w:bidi="en-GB"/>
      </w:rPr>
    </w:lvl>
    <w:lvl w:ilvl="6" w:tplc="5FAC9C6C">
      <w:numFmt w:val="bullet"/>
      <w:lvlText w:val="•"/>
      <w:lvlJc w:val="left"/>
      <w:pPr>
        <w:ind w:left="2409" w:hanging="360"/>
      </w:pPr>
      <w:rPr>
        <w:rFonts w:hint="default"/>
        <w:lang w:val="en-GB" w:eastAsia="en-GB" w:bidi="en-GB"/>
      </w:rPr>
    </w:lvl>
    <w:lvl w:ilvl="7" w:tplc="80827B38">
      <w:numFmt w:val="bullet"/>
      <w:lvlText w:val="•"/>
      <w:lvlJc w:val="left"/>
      <w:pPr>
        <w:ind w:left="2718" w:hanging="360"/>
      </w:pPr>
      <w:rPr>
        <w:rFonts w:hint="default"/>
        <w:lang w:val="en-GB" w:eastAsia="en-GB" w:bidi="en-GB"/>
      </w:rPr>
    </w:lvl>
    <w:lvl w:ilvl="8" w:tplc="A29A8EF2">
      <w:numFmt w:val="bullet"/>
      <w:lvlText w:val="•"/>
      <w:lvlJc w:val="left"/>
      <w:pPr>
        <w:ind w:left="3026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A223D78"/>
    <w:multiLevelType w:val="hybridMultilevel"/>
    <w:tmpl w:val="D2D0322E"/>
    <w:lvl w:ilvl="0" w:tplc="30F4671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5BE9AEC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C88E94C4">
      <w:numFmt w:val="bullet"/>
      <w:lvlText w:val="•"/>
      <w:lvlJc w:val="left"/>
      <w:pPr>
        <w:ind w:left="970" w:hanging="360"/>
      </w:pPr>
      <w:rPr>
        <w:rFonts w:hint="default"/>
        <w:lang w:val="en-GB" w:eastAsia="en-GB" w:bidi="en-GB"/>
      </w:rPr>
    </w:lvl>
    <w:lvl w:ilvl="3" w:tplc="BF407C88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4" w:tplc="0DDACD54">
      <w:numFmt w:val="bullet"/>
      <w:lvlText w:val="•"/>
      <w:lvlJc w:val="left"/>
      <w:pPr>
        <w:ind w:left="1587" w:hanging="360"/>
      </w:pPr>
      <w:rPr>
        <w:rFonts w:hint="default"/>
        <w:lang w:val="en-GB" w:eastAsia="en-GB" w:bidi="en-GB"/>
      </w:rPr>
    </w:lvl>
    <w:lvl w:ilvl="5" w:tplc="8FC4DE18">
      <w:numFmt w:val="bullet"/>
      <w:lvlText w:val="•"/>
      <w:lvlJc w:val="left"/>
      <w:pPr>
        <w:ind w:left="1895" w:hanging="360"/>
      </w:pPr>
      <w:rPr>
        <w:rFonts w:hint="default"/>
        <w:lang w:val="en-GB" w:eastAsia="en-GB" w:bidi="en-GB"/>
      </w:rPr>
    </w:lvl>
    <w:lvl w:ilvl="6" w:tplc="FBF0D2B6">
      <w:numFmt w:val="bullet"/>
      <w:lvlText w:val="•"/>
      <w:lvlJc w:val="left"/>
      <w:pPr>
        <w:ind w:left="2203" w:hanging="360"/>
      </w:pPr>
      <w:rPr>
        <w:rFonts w:hint="default"/>
        <w:lang w:val="en-GB" w:eastAsia="en-GB" w:bidi="en-GB"/>
      </w:rPr>
    </w:lvl>
    <w:lvl w:ilvl="7" w:tplc="1B62F2DC">
      <w:numFmt w:val="bullet"/>
      <w:lvlText w:val="•"/>
      <w:lvlJc w:val="left"/>
      <w:pPr>
        <w:ind w:left="2512" w:hanging="360"/>
      </w:pPr>
      <w:rPr>
        <w:rFonts w:hint="default"/>
        <w:lang w:val="en-GB" w:eastAsia="en-GB" w:bidi="en-GB"/>
      </w:rPr>
    </w:lvl>
    <w:lvl w:ilvl="8" w:tplc="82A0BC62">
      <w:numFmt w:val="bullet"/>
      <w:lvlText w:val="•"/>
      <w:lvlJc w:val="left"/>
      <w:pPr>
        <w:ind w:left="2820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6F944B7E"/>
    <w:multiLevelType w:val="hybridMultilevel"/>
    <w:tmpl w:val="B1A22308"/>
    <w:lvl w:ilvl="0" w:tplc="5B368B5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FEC3076">
      <w:numFmt w:val="bullet"/>
      <w:lvlText w:val="•"/>
      <w:lvlJc w:val="left"/>
      <w:pPr>
        <w:ind w:left="800" w:hanging="360"/>
      </w:pPr>
      <w:rPr>
        <w:rFonts w:hint="default"/>
        <w:lang w:val="en-GB" w:eastAsia="en-GB" w:bidi="en-GB"/>
      </w:rPr>
    </w:lvl>
    <w:lvl w:ilvl="2" w:tplc="A230ACC2">
      <w:numFmt w:val="bullet"/>
      <w:lvlText w:val="•"/>
      <w:lvlJc w:val="left"/>
      <w:pPr>
        <w:ind w:left="1041" w:hanging="360"/>
      </w:pPr>
      <w:rPr>
        <w:rFonts w:hint="default"/>
        <w:lang w:val="en-GB" w:eastAsia="en-GB" w:bidi="en-GB"/>
      </w:rPr>
    </w:lvl>
    <w:lvl w:ilvl="3" w:tplc="21A62D10">
      <w:numFmt w:val="bullet"/>
      <w:lvlText w:val="•"/>
      <w:lvlJc w:val="left"/>
      <w:pPr>
        <w:ind w:left="1282" w:hanging="360"/>
      </w:pPr>
      <w:rPr>
        <w:rFonts w:hint="default"/>
        <w:lang w:val="en-GB" w:eastAsia="en-GB" w:bidi="en-GB"/>
      </w:rPr>
    </w:lvl>
    <w:lvl w:ilvl="4" w:tplc="2EB89392">
      <w:numFmt w:val="bullet"/>
      <w:lvlText w:val="•"/>
      <w:lvlJc w:val="left"/>
      <w:pPr>
        <w:ind w:left="1523" w:hanging="360"/>
      </w:pPr>
      <w:rPr>
        <w:rFonts w:hint="default"/>
        <w:lang w:val="en-GB" w:eastAsia="en-GB" w:bidi="en-GB"/>
      </w:rPr>
    </w:lvl>
    <w:lvl w:ilvl="5" w:tplc="B866CE08">
      <w:numFmt w:val="bullet"/>
      <w:lvlText w:val="•"/>
      <w:lvlJc w:val="left"/>
      <w:pPr>
        <w:ind w:left="1764" w:hanging="360"/>
      </w:pPr>
      <w:rPr>
        <w:rFonts w:hint="default"/>
        <w:lang w:val="en-GB" w:eastAsia="en-GB" w:bidi="en-GB"/>
      </w:rPr>
    </w:lvl>
    <w:lvl w:ilvl="6" w:tplc="9A6A78D6">
      <w:numFmt w:val="bullet"/>
      <w:lvlText w:val="•"/>
      <w:lvlJc w:val="left"/>
      <w:pPr>
        <w:ind w:left="2005" w:hanging="360"/>
      </w:pPr>
      <w:rPr>
        <w:rFonts w:hint="default"/>
        <w:lang w:val="en-GB" w:eastAsia="en-GB" w:bidi="en-GB"/>
      </w:rPr>
    </w:lvl>
    <w:lvl w:ilvl="7" w:tplc="1876CE8A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8" w:tplc="3D64760E">
      <w:numFmt w:val="bullet"/>
      <w:lvlText w:val="•"/>
      <w:lvlJc w:val="left"/>
      <w:pPr>
        <w:ind w:left="2487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7A0C71DA"/>
    <w:multiLevelType w:val="hybridMultilevel"/>
    <w:tmpl w:val="3420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10386">
    <w:abstractNumId w:val="4"/>
  </w:num>
  <w:num w:numId="2" w16cid:durableId="1472540">
    <w:abstractNumId w:val="7"/>
  </w:num>
  <w:num w:numId="3" w16cid:durableId="641038742">
    <w:abstractNumId w:val="8"/>
  </w:num>
  <w:num w:numId="4" w16cid:durableId="966004757">
    <w:abstractNumId w:val="6"/>
  </w:num>
  <w:num w:numId="5" w16cid:durableId="573586532">
    <w:abstractNumId w:val="1"/>
  </w:num>
  <w:num w:numId="6" w16cid:durableId="61298094">
    <w:abstractNumId w:val="5"/>
  </w:num>
  <w:num w:numId="7" w16cid:durableId="906963923">
    <w:abstractNumId w:val="3"/>
  </w:num>
  <w:num w:numId="8" w16cid:durableId="1709061098">
    <w:abstractNumId w:val="9"/>
  </w:num>
  <w:num w:numId="9" w16cid:durableId="1370953346">
    <w:abstractNumId w:val="2"/>
  </w:num>
  <w:num w:numId="10" w16cid:durableId="72499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2B"/>
    <w:rsid w:val="001C362F"/>
    <w:rsid w:val="00670D2B"/>
    <w:rsid w:val="00B16678"/>
    <w:rsid w:val="00C066AE"/>
    <w:rsid w:val="00DD0D02"/>
    <w:rsid w:val="71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50E6"/>
  <w15:chartTrackingRefBased/>
  <w15:docId w15:val="{B8F65C26-977C-4C8D-B98F-F9C984AD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0D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70D2B"/>
    <w:pPr>
      <w:spacing w:before="94"/>
      <w:outlineLvl w:val="0"/>
    </w:pPr>
    <w:rPr>
      <w:b/>
      <w:bCs/>
      <w:sz w:val="28"/>
    </w:rPr>
  </w:style>
  <w:style w:type="paragraph" w:styleId="Heading2">
    <w:name w:val="heading 2"/>
    <w:basedOn w:val="Normal"/>
    <w:link w:val="Heading2Char"/>
    <w:uiPriority w:val="1"/>
    <w:qFormat/>
    <w:rsid w:val="00670D2B"/>
    <w:pPr>
      <w:outlineLvl w:val="1"/>
    </w:pPr>
    <w:rPr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D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0D2B"/>
    <w:rPr>
      <w:rFonts w:ascii="Arial" w:eastAsia="Arial" w:hAnsi="Arial" w:cs="Arial"/>
      <w:b/>
      <w:bCs/>
      <w:sz w:val="28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670D2B"/>
    <w:rPr>
      <w:rFonts w:ascii="Arial" w:eastAsia="Arial" w:hAnsi="Arial" w:cs="Arial"/>
      <w:b/>
      <w:bCs/>
      <w:i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70D2B"/>
    <w:rPr>
      <w:rFonts w:asciiTheme="majorHAnsi" w:eastAsiaTheme="majorEastAsia" w:hAnsiTheme="majorHAnsi" w:cstheme="majorBidi"/>
      <w:b/>
      <w:bCs/>
      <w:color w:val="4472C4" w:themeColor="accent1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670D2B"/>
  </w:style>
  <w:style w:type="character" w:customStyle="1" w:styleId="BodyTextChar">
    <w:name w:val="Body Text Char"/>
    <w:basedOn w:val="DefaultParagraphFont"/>
    <w:link w:val="BodyText"/>
    <w:uiPriority w:val="1"/>
    <w:rsid w:val="00670D2B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670D2B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70D2B"/>
    <w:pPr>
      <w:ind w:left="10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70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D2B"/>
    <w:rPr>
      <w:rFonts w:ascii="Arial" w:eastAsia="Arial" w:hAnsi="Arial" w:cs="Arial"/>
      <w:sz w:val="20"/>
      <w:szCs w:val="20"/>
      <w:lang w:eastAsia="en-GB" w:bidi="en-GB"/>
    </w:rPr>
  </w:style>
  <w:style w:type="character" w:styleId="SubtleEmphasis">
    <w:name w:val="Subtle Emphasis"/>
    <w:aliases w:val="Table Title"/>
    <w:uiPriority w:val="99"/>
    <w:qFormat/>
    <w:rsid w:val="00670D2B"/>
    <w:rPr>
      <w:rFonts w:ascii="Calibri" w:hAnsi="Calibri"/>
      <w:b/>
      <w:i/>
      <w:iCs/>
      <w:color w:val="243F60"/>
      <w:sz w:val="22"/>
    </w:rPr>
  </w:style>
  <w:style w:type="paragraph" w:customStyle="1" w:styleId="BulletedList">
    <w:name w:val="Bulleted List"/>
    <w:basedOn w:val="Normal"/>
    <w:link w:val="BulletedListChar"/>
    <w:qFormat/>
    <w:rsid w:val="00670D2B"/>
    <w:pPr>
      <w:widowControl/>
      <w:numPr>
        <w:numId w:val="5"/>
      </w:numPr>
      <w:autoSpaceDE/>
      <w:autoSpaceDN/>
      <w:spacing w:before="120" w:after="120"/>
    </w:pPr>
    <w:rPr>
      <w:rFonts w:eastAsia="Times New Roman" w:cs="Times New Roman"/>
      <w:szCs w:val="20"/>
      <w:lang w:val="en-US" w:eastAsia="en-US" w:bidi="en-US"/>
    </w:rPr>
  </w:style>
  <w:style w:type="character" w:customStyle="1" w:styleId="BulletedListChar">
    <w:name w:val="Bulleted List Char"/>
    <w:basedOn w:val="DefaultParagraphFont"/>
    <w:link w:val="BulletedList"/>
    <w:rsid w:val="00670D2B"/>
    <w:rPr>
      <w:rFonts w:ascii="Arial" w:eastAsia="Times New Roman" w:hAnsi="Arial" w:cs="Times New Roman"/>
      <w:szCs w:val="20"/>
      <w:lang w:val="en-US" w:bidi="en-US"/>
    </w:rPr>
  </w:style>
  <w:style w:type="table" w:styleId="TableGrid">
    <w:name w:val="Table Grid"/>
    <w:basedOn w:val="TableNormal"/>
    <w:rsid w:val="00670D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0D02"/>
    <w:pPr>
      <w:spacing w:after="0" w:line="240" w:lineRule="auto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0281F4B63B04893BEC77745423789" ma:contentTypeVersion="13" ma:contentTypeDescription="Create a new document." ma:contentTypeScope="" ma:versionID="2ec482c516697757d7a56a57b56a222d">
  <xsd:schema xmlns:xsd="http://www.w3.org/2001/XMLSchema" xmlns:xs="http://www.w3.org/2001/XMLSchema" xmlns:p="http://schemas.microsoft.com/office/2006/metadata/properties" xmlns:ns2="44ac7819-9327-4768-a5f5-92370e485fbe" xmlns:ns3="e2feea9b-0105-48f8-881f-21f3ac56e50b" targetNamespace="http://schemas.microsoft.com/office/2006/metadata/properties" ma:root="true" ma:fieldsID="02a48356b7c7e0be2e3793221cca85fc" ns2:_="" ns3:_="">
    <xsd:import namespace="44ac7819-9327-4768-a5f5-92370e485fbe"/>
    <xsd:import namespace="e2feea9b-0105-48f8-881f-21f3ac56e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x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7819-9327-4768-a5f5-92370e485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xt" ma:index="10" nillable="true" ma:displayName="Context" ma:format="Dropdown" ma:internalName="Context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ea9b-0105-48f8-881f-21f3ac56e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xt xmlns="44ac7819-9327-4768-a5f5-92370e485fbe" xsi:nil="true"/>
  </documentManagement>
</p:properties>
</file>

<file path=customXml/itemProps1.xml><?xml version="1.0" encoding="utf-8"?>
<ds:datastoreItem xmlns:ds="http://schemas.openxmlformats.org/officeDocument/2006/customXml" ds:itemID="{D68BB061-5AD8-4099-B02A-2E8B12871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1E323-82F1-459E-9A3C-7CFC2851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c7819-9327-4768-a5f5-92370e485fbe"/>
    <ds:schemaRef ds:uri="e2feea9b-0105-48f8-881f-21f3ac56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EAF38-6BA7-4446-A91E-9538AEB150F3}">
  <ds:schemaRefs>
    <ds:schemaRef ds:uri="http://schemas.microsoft.com/office/2006/metadata/properties"/>
    <ds:schemaRef ds:uri="http://schemas.microsoft.com/office/infopath/2007/PartnerControls"/>
    <ds:schemaRef ds:uri="44ac7819-9327-4768-a5f5-92370e485fbe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Stirling, Diane</dc:creator>
  <cp:keywords/>
  <dc:description/>
  <cp:lastModifiedBy>Lisa Macleod</cp:lastModifiedBy>
  <cp:revision>6</cp:revision>
  <dcterms:created xsi:type="dcterms:W3CDTF">2025-06-18T11:04:00Z</dcterms:created>
  <dcterms:modified xsi:type="dcterms:W3CDTF">2025-06-18T11:04:00Z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0x0101004200281F4B63B04893BEC77745423789</vt:lpwstr>
  </property>
</Properties>
</file>