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0C96B02C" w:rsidR="00F06446" w:rsidRPr="00F06446" w:rsidRDefault="004C6AA1"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2709FF">
        <w:rPr>
          <w:rFonts w:eastAsia="Calibri"/>
          <w:color w:val="FFFFFF"/>
          <w:kern w:val="0"/>
          <w:sz w:val="40"/>
          <w:szCs w:val="40"/>
          <w:shd w:val="clear" w:color="auto" w:fill="auto"/>
          <w:lang w:val="en-US" w:eastAsia="en-US"/>
          <w14:ligatures w14:val="none"/>
        </w:rPr>
        <w:t>Blepharo</w:t>
      </w:r>
      <w:r w:rsidR="002709FF" w:rsidRPr="002709FF">
        <w:rPr>
          <w:rFonts w:eastAsia="Calibri"/>
          <w:color w:val="FFFFFF"/>
          <w:kern w:val="0"/>
          <w:sz w:val="40"/>
          <w:szCs w:val="40"/>
          <w:shd w:val="clear" w:color="auto" w:fill="auto"/>
          <w:lang w:val="en-US" w:eastAsia="en-US"/>
          <w14:ligatures w14:val="none"/>
        </w:rPr>
        <w:t>plasty</w:t>
      </w:r>
      <w:r w:rsidR="00F06446" w:rsidRPr="002709FF">
        <w:rPr>
          <w:rFonts w:eastAsia="Calibri"/>
          <w:color w:val="FFFFFF"/>
          <w:kern w:val="0"/>
          <w:sz w:val="40"/>
          <w:szCs w:val="40"/>
          <w:shd w:val="clear" w:color="auto" w:fill="auto"/>
          <w:lang w:val="en-US" w:eastAsia="en-US"/>
          <w14:ligatures w14:val="none"/>
        </w:rPr>
        <w:t>: evidence base to underpin</w:t>
      </w:r>
      <w:r w:rsidR="00F06446" w:rsidRPr="00F06446">
        <w:rPr>
          <w:rFonts w:eastAsia="Calibri"/>
          <w:color w:val="FFFFFF"/>
          <w:kern w:val="0"/>
          <w:sz w:val="40"/>
          <w:szCs w:val="40"/>
          <w:shd w:val="clear" w:color="auto" w:fill="auto"/>
          <w:lang w:val="en-US" w:eastAsia="en-US"/>
          <w14:ligatures w14:val="none"/>
        </w:rPr>
        <w:t xml:space="preserve"> </w:t>
      </w:r>
      <w:r w:rsidR="002709FF">
        <w:rPr>
          <w:rFonts w:eastAsia="Calibri"/>
          <w:color w:val="FFFFFF"/>
          <w:kern w:val="0"/>
          <w:sz w:val="40"/>
          <w:szCs w:val="40"/>
          <w:shd w:val="clear" w:color="auto" w:fill="auto"/>
          <w:lang w:val="en-US" w:eastAsia="en-US"/>
          <w14:ligatures w14:val="none"/>
        </w:rPr>
        <w:br/>
      </w:r>
      <w:r w:rsidR="00F06446" w:rsidRPr="00F06446">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7F5D5A9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A30E3E" w:rsidRDefault="002C702D" w:rsidP="00B15943">
            <w:r w:rsidRPr="00A30E3E">
              <w:t xml:space="preserve">Andy Malyon, Chair, Procedures of Limited Value Group, </w:t>
            </w:r>
            <w:r w:rsidR="00C40E67" w:rsidRPr="00A30E3E">
              <w:t>Scottish Government</w:t>
            </w:r>
            <w:r w:rsidRPr="00A30E3E">
              <w:t xml:space="preserve"> </w:t>
            </w:r>
            <w:hyperlink r:id="rId14" w:history="1">
              <w:r w:rsidR="00C40E67" w:rsidRPr="00A30E3E">
                <w:rPr>
                  <w:rStyle w:val="Hyperlink"/>
                </w:rPr>
                <w:t>Andy.Malyon@gov.scot</w:t>
              </w:r>
            </w:hyperlink>
          </w:p>
          <w:p w14:paraId="691F56ED" w14:textId="77777777" w:rsidR="002C702D" w:rsidRPr="00A30E3E" w:rsidRDefault="002C702D" w:rsidP="00B15943"/>
          <w:p w14:paraId="72569F88" w14:textId="507A4D57" w:rsidR="002C702D" w:rsidRPr="00A30E3E" w:rsidRDefault="002C702D" w:rsidP="00B15943">
            <w:pPr>
              <w:rPr>
                <w14:ligatures w14:val="none"/>
              </w:rPr>
            </w:pPr>
            <w:r w:rsidRPr="00A30E3E">
              <w:t xml:space="preserve">Craig Bell, </w:t>
            </w:r>
            <w:r w:rsidRPr="00A30E3E">
              <w:rPr>
                <w14:ligatures w14:val="none"/>
              </w:rPr>
              <w:t xml:space="preserve">Head of Realistic Medicine Policy Team, </w:t>
            </w:r>
            <w:r w:rsidR="00714FA8" w:rsidRPr="00A30E3E">
              <w:rPr>
                <w14:ligatures w14:val="none"/>
              </w:rPr>
              <w:br/>
            </w:r>
            <w:r w:rsidR="00C40E67" w:rsidRPr="00A30E3E">
              <w:t xml:space="preserve">Scottish Government </w:t>
            </w:r>
            <w:hyperlink r:id="rId15" w:history="1">
              <w:r w:rsidR="00D96514" w:rsidRPr="00A30E3E">
                <w:rPr>
                  <w:rStyle w:val="Hyperlink"/>
                  <w14:ligatures w14:val="none"/>
                </w:rPr>
                <w:t>craig.bell@gov.scot</w:t>
              </w:r>
            </w:hyperlink>
          </w:p>
          <w:p w14:paraId="003311A8" w14:textId="77777777" w:rsidR="002C702D" w:rsidRPr="00A30E3E"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7EE841D6" w14:textId="77777777" w:rsidR="00D96514" w:rsidRDefault="000F0E71" w:rsidP="000F0E71">
            <w:r w:rsidRPr="000F0E71">
              <w:t>Evidence search and summaries are authored by the Information Scientists in Healthcare Improvement Scotland (HIS), with support from colleagues in the HIS Research and Information Service</w:t>
            </w:r>
          </w:p>
          <w:p w14:paraId="5B1BA546" w14:textId="0ADD37D6" w:rsidR="000F0E71" w:rsidRPr="00A30E3E" w:rsidRDefault="000F0E71" w:rsidP="000F0E71"/>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237220CF" w:rsidR="002C702D" w:rsidRPr="001636EF" w:rsidRDefault="00A30E3E" w:rsidP="00B15943">
            <w:r>
              <w:t>16 January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1FC2CCC8" w14:textId="77777777" w:rsidR="00EB7C90" w:rsidRPr="001636EF" w:rsidRDefault="00EB7C90" w:rsidP="00EB7C90">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376F4E21" w14:textId="4EF86147" w:rsidR="005023C7"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02121" w:history="1">
            <w:r w:rsidR="005023C7" w:rsidRPr="001F384C">
              <w:rPr>
                <w:rStyle w:val="Hyperlink"/>
                <w:noProof/>
              </w:rPr>
              <w:t>1</w:t>
            </w:r>
            <w:r w:rsidR="005023C7">
              <w:rPr>
                <w:rFonts w:asciiTheme="minorHAnsi" w:eastAsiaTheme="minorEastAsia" w:hAnsiTheme="minorHAnsi" w:cstheme="minorBidi"/>
                <w:noProof/>
                <w:shd w:val="clear" w:color="auto" w:fill="auto"/>
              </w:rPr>
              <w:tab/>
            </w:r>
            <w:r w:rsidR="005023C7" w:rsidRPr="001F384C">
              <w:rPr>
                <w:rStyle w:val="Hyperlink"/>
                <w:noProof/>
              </w:rPr>
              <w:t>Title</w:t>
            </w:r>
            <w:r w:rsidR="005023C7">
              <w:rPr>
                <w:noProof/>
                <w:webHidden/>
              </w:rPr>
              <w:tab/>
            </w:r>
            <w:r w:rsidR="005023C7">
              <w:rPr>
                <w:noProof/>
                <w:webHidden/>
              </w:rPr>
              <w:fldChar w:fldCharType="begin"/>
            </w:r>
            <w:r w:rsidR="005023C7">
              <w:rPr>
                <w:noProof/>
                <w:webHidden/>
              </w:rPr>
              <w:instrText xml:space="preserve"> PAGEREF _Toc197602121 \h </w:instrText>
            </w:r>
            <w:r w:rsidR="005023C7">
              <w:rPr>
                <w:noProof/>
                <w:webHidden/>
              </w:rPr>
            </w:r>
            <w:r w:rsidR="005023C7">
              <w:rPr>
                <w:noProof/>
                <w:webHidden/>
              </w:rPr>
              <w:fldChar w:fldCharType="separate"/>
            </w:r>
            <w:r w:rsidR="005023C7">
              <w:rPr>
                <w:noProof/>
                <w:webHidden/>
              </w:rPr>
              <w:t>2</w:t>
            </w:r>
            <w:r w:rsidR="005023C7">
              <w:rPr>
                <w:noProof/>
                <w:webHidden/>
              </w:rPr>
              <w:fldChar w:fldCharType="end"/>
            </w:r>
          </w:hyperlink>
        </w:p>
        <w:p w14:paraId="44150D72" w14:textId="5E99CAD5"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22" w:history="1">
            <w:r w:rsidRPr="001F384C">
              <w:rPr>
                <w:rStyle w:val="Hyperlink"/>
                <w:noProof/>
              </w:rPr>
              <w:t>2</w:t>
            </w:r>
            <w:r>
              <w:rPr>
                <w:rFonts w:asciiTheme="minorHAnsi" w:eastAsiaTheme="minorEastAsia" w:hAnsiTheme="minorHAnsi" w:cstheme="minorBidi"/>
                <w:noProof/>
                <w:shd w:val="clear" w:color="auto" w:fill="auto"/>
              </w:rPr>
              <w:tab/>
            </w:r>
            <w:r w:rsidRPr="001F384C">
              <w:rPr>
                <w:rStyle w:val="Hyperlink"/>
                <w:noProof/>
              </w:rPr>
              <w:t>Questions</w:t>
            </w:r>
            <w:r>
              <w:rPr>
                <w:noProof/>
                <w:webHidden/>
              </w:rPr>
              <w:tab/>
            </w:r>
            <w:r>
              <w:rPr>
                <w:noProof/>
                <w:webHidden/>
              </w:rPr>
              <w:fldChar w:fldCharType="begin"/>
            </w:r>
            <w:r>
              <w:rPr>
                <w:noProof/>
                <w:webHidden/>
              </w:rPr>
              <w:instrText xml:space="preserve"> PAGEREF _Toc197602122 \h </w:instrText>
            </w:r>
            <w:r>
              <w:rPr>
                <w:noProof/>
                <w:webHidden/>
              </w:rPr>
            </w:r>
            <w:r>
              <w:rPr>
                <w:noProof/>
                <w:webHidden/>
              </w:rPr>
              <w:fldChar w:fldCharType="separate"/>
            </w:r>
            <w:r>
              <w:rPr>
                <w:noProof/>
                <w:webHidden/>
              </w:rPr>
              <w:t>2</w:t>
            </w:r>
            <w:r>
              <w:rPr>
                <w:noProof/>
                <w:webHidden/>
              </w:rPr>
              <w:fldChar w:fldCharType="end"/>
            </w:r>
          </w:hyperlink>
        </w:p>
        <w:p w14:paraId="76B1B6DC" w14:textId="27BFE0A3"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23" w:history="1">
            <w:r w:rsidRPr="001F384C">
              <w:rPr>
                <w:rStyle w:val="Hyperlink"/>
                <w:noProof/>
              </w:rPr>
              <w:t>3</w:t>
            </w:r>
            <w:r>
              <w:rPr>
                <w:rFonts w:asciiTheme="minorHAnsi" w:eastAsiaTheme="minorEastAsia" w:hAnsiTheme="minorHAnsi" w:cstheme="minorBidi"/>
                <w:noProof/>
                <w:shd w:val="clear" w:color="auto" w:fill="auto"/>
              </w:rPr>
              <w:tab/>
            </w:r>
            <w:r w:rsidRPr="001F384C">
              <w:rPr>
                <w:rStyle w:val="Hyperlink"/>
                <w:noProof/>
              </w:rPr>
              <w:t>Method and approach</w:t>
            </w:r>
            <w:r>
              <w:rPr>
                <w:noProof/>
                <w:webHidden/>
              </w:rPr>
              <w:tab/>
            </w:r>
            <w:r>
              <w:rPr>
                <w:noProof/>
                <w:webHidden/>
              </w:rPr>
              <w:fldChar w:fldCharType="begin"/>
            </w:r>
            <w:r>
              <w:rPr>
                <w:noProof/>
                <w:webHidden/>
              </w:rPr>
              <w:instrText xml:space="preserve"> PAGEREF _Toc197602123 \h </w:instrText>
            </w:r>
            <w:r>
              <w:rPr>
                <w:noProof/>
                <w:webHidden/>
              </w:rPr>
            </w:r>
            <w:r>
              <w:rPr>
                <w:noProof/>
                <w:webHidden/>
              </w:rPr>
              <w:fldChar w:fldCharType="separate"/>
            </w:r>
            <w:r>
              <w:rPr>
                <w:noProof/>
                <w:webHidden/>
              </w:rPr>
              <w:t>2</w:t>
            </w:r>
            <w:r>
              <w:rPr>
                <w:noProof/>
                <w:webHidden/>
              </w:rPr>
              <w:fldChar w:fldCharType="end"/>
            </w:r>
          </w:hyperlink>
        </w:p>
        <w:p w14:paraId="1AC11E12" w14:textId="5E788BB9"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24" w:history="1">
            <w:r w:rsidRPr="001F384C">
              <w:rPr>
                <w:rStyle w:val="Hyperlink"/>
                <w:noProof/>
              </w:rPr>
              <w:t>4</w:t>
            </w:r>
            <w:r>
              <w:rPr>
                <w:rFonts w:asciiTheme="minorHAnsi" w:eastAsiaTheme="minorEastAsia" w:hAnsiTheme="minorHAnsi" w:cstheme="minorBidi"/>
                <w:noProof/>
                <w:shd w:val="clear" w:color="auto" w:fill="auto"/>
              </w:rPr>
              <w:tab/>
            </w:r>
            <w:r w:rsidRPr="001F384C">
              <w:rPr>
                <w:rStyle w:val="Hyperlink"/>
                <w:noProof/>
              </w:rPr>
              <w:t>Referral criteria</w:t>
            </w:r>
            <w:r>
              <w:rPr>
                <w:noProof/>
                <w:webHidden/>
              </w:rPr>
              <w:tab/>
            </w:r>
            <w:r>
              <w:rPr>
                <w:noProof/>
                <w:webHidden/>
              </w:rPr>
              <w:fldChar w:fldCharType="begin"/>
            </w:r>
            <w:r>
              <w:rPr>
                <w:noProof/>
                <w:webHidden/>
              </w:rPr>
              <w:instrText xml:space="preserve"> PAGEREF _Toc197602124 \h </w:instrText>
            </w:r>
            <w:r>
              <w:rPr>
                <w:noProof/>
                <w:webHidden/>
              </w:rPr>
            </w:r>
            <w:r>
              <w:rPr>
                <w:noProof/>
                <w:webHidden/>
              </w:rPr>
              <w:fldChar w:fldCharType="separate"/>
            </w:r>
            <w:r>
              <w:rPr>
                <w:noProof/>
                <w:webHidden/>
              </w:rPr>
              <w:t>2</w:t>
            </w:r>
            <w:r>
              <w:rPr>
                <w:noProof/>
                <w:webHidden/>
              </w:rPr>
              <w:fldChar w:fldCharType="end"/>
            </w:r>
          </w:hyperlink>
        </w:p>
        <w:p w14:paraId="7DAB4DA9" w14:textId="77F2B98A"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25" w:history="1">
            <w:r w:rsidRPr="001F384C">
              <w:rPr>
                <w:rStyle w:val="Hyperlink"/>
                <w:noProof/>
              </w:rPr>
              <w:t>5</w:t>
            </w:r>
            <w:r>
              <w:rPr>
                <w:rFonts w:asciiTheme="minorHAnsi" w:eastAsiaTheme="minorEastAsia" w:hAnsiTheme="minorHAnsi" w:cstheme="minorBidi"/>
                <w:noProof/>
                <w:shd w:val="clear" w:color="auto" w:fill="auto"/>
              </w:rPr>
              <w:tab/>
            </w:r>
            <w:r w:rsidRPr="001F384C">
              <w:rPr>
                <w:rStyle w:val="Hyperlink"/>
                <w:noProof/>
              </w:rPr>
              <w:t>Benefits</w:t>
            </w:r>
            <w:r>
              <w:rPr>
                <w:noProof/>
                <w:webHidden/>
              </w:rPr>
              <w:tab/>
            </w:r>
            <w:r>
              <w:rPr>
                <w:noProof/>
                <w:webHidden/>
              </w:rPr>
              <w:fldChar w:fldCharType="begin"/>
            </w:r>
            <w:r>
              <w:rPr>
                <w:noProof/>
                <w:webHidden/>
              </w:rPr>
              <w:instrText xml:space="preserve"> PAGEREF _Toc197602125 \h </w:instrText>
            </w:r>
            <w:r>
              <w:rPr>
                <w:noProof/>
                <w:webHidden/>
              </w:rPr>
            </w:r>
            <w:r>
              <w:rPr>
                <w:noProof/>
                <w:webHidden/>
              </w:rPr>
              <w:fldChar w:fldCharType="separate"/>
            </w:r>
            <w:r>
              <w:rPr>
                <w:noProof/>
                <w:webHidden/>
              </w:rPr>
              <w:t>4</w:t>
            </w:r>
            <w:r>
              <w:rPr>
                <w:noProof/>
                <w:webHidden/>
              </w:rPr>
              <w:fldChar w:fldCharType="end"/>
            </w:r>
          </w:hyperlink>
        </w:p>
        <w:p w14:paraId="2FCF4448" w14:textId="1A99EE9C"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26" w:history="1">
            <w:r w:rsidRPr="001F384C">
              <w:rPr>
                <w:rStyle w:val="Hyperlink"/>
                <w:noProof/>
              </w:rPr>
              <w:t>6</w:t>
            </w:r>
            <w:r>
              <w:rPr>
                <w:rFonts w:asciiTheme="minorHAnsi" w:eastAsiaTheme="minorEastAsia" w:hAnsiTheme="minorHAnsi" w:cstheme="minorBidi"/>
                <w:noProof/>
                <w:shd w:val="clear" w:color="auto" w:fill="auto"/>
              </w:rPr>
              <w:tab/>
            </w:r>
            <w:r w:rsidRPr="001F384C">
              <w:rPr>
                <w:rStyle w:val="Hyperlink"/>
                <w:noProof/>
              </w:rPr>
              <w:t>Risks and complications</w:t>
            </w:r>
            <w:r>
              <w:rPr>
                <w:noProof/>
                <w:webHidden/>
              </w:rPr>
              <w:tab/>
            </w:r>
            <w:r>
              <w:rPr>
                <w:noProof/>
                <w:webHidden/>
              </w:rPr>
              <w:fldChar w:fldCharType="begin"/>
            </w:r>
            <w:r>
              <w:rPr>
                <w:noProof/>
                <w:webHidden/>
              </w:rPr>
              <w:instrText xml:space="preserve"> PAGEREF _Toc197602126 \h </w:instrText>
            </w:r>
            <w:r>
              <w:rPr>
                <w:noProof/>
                <w:webHidden/>
              </w:rPr>
            </w:r>
            <w:r>
              <w:rPr>
                <w:noProof/>
                <w:webHidden/>
              </w:rPr>
              <w:fldChar w:fldCharType="separate"/>
            </w:r>
            <w:r>
              <w:rPr>
                <w:noProof/>
                <w:webHidden/>
              </w:rPr>
              <w:t>5</w:t>
            </w:r>
            <w:r>
              <w:rPr>
                <w:noProof/>
                <w:webHidden/>
              </w:rPr>
              <w:fldChar w:fldCharType="end"/>
            </w:r>
          </w:hyperlink>
        </w:p>
        <w:p w14:paraId="3D7B499C" w14:textId="2CC627AD"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27" w:history="1">
            <w:r w:rsidRPr="001F384C">
              <w:rPr>
                <w:rStyle w:val="Hyperlink"/>
                <w:rFonts w:eastAsia="Times New Roman"/>
                <w:noProof/>
              </w:rPr>
              <w:t>6.1</w:t>
            </w:r>
            <w:r>
              <w:rPr>
                <w:rFonts w:asciiTheme="minorHAnsi" w:eastAsiaTheme="minorEastAsia" w:hAnsiTheme="minorHAnsi" w:cstheme="minorBidi"/>
                <w:noProof/>
                <w:shd w:val="clear" w:color="auto" w:fill="auto"/>
              </w:rPr>
              <w:tab/>
            </w:r>
            <w:r w:rsidRPr="001F384C">
              <w:rPr>
                <w:rStyle w:val="Hyperlink"/>
                <w:rFonts w:eastAsia="Times New Roman"/>
                <w:noProof/>
              </w:rPr>
              <w:t>Risk of hypertrophic scarring and keloid following eyelid procedures</w:t>
            </w:r>
            <w:r>
              <w:rPr>
                <w:noProof/>
                <w:webHidden/>
              </w:rPr>
              <w:tab/>
            </w:r>
            <w:r>
              <w:rPr>
                <w:noProof/>
                <w:webHidden/>
              </w:rPr>
              <w:fldChar w:fldCharType="begin"/>
            </w:r>
            <w:r>
              <w:rPr>
                <w:noProof/>
                <w:webHidden/>
              </w:rPr>
              <w:instrText xml:space="preserve"> PAGEREF _Toc197602127 \h </w:instrText>
            </w:r>
            <w:r>
              <w:rPr>
                <w:noProof/>
                <w:webHidden/>
              </w:rPr>
            </w:r>
            <w:r>
              <w:rPr>
                <w:noProof/>
                <w:webHidden/>
              </w:rPr>
              <w:fldChar w:fldCharType="separate"/>
            </w:r>
            <w:r>
              <w:rPr>
                <w:noProof/>
                <w:webHidden/>
              </w:rPr>
              <w:t>5</w:t>
            </w:r>
            <w:r>
              <w:rPr>
                <w:noProof/>
                <w:webHidden/>
              </w:rPr>
              <w:fldChar w:fldCharType="end"/>
            </w:r>
          </w:hyperlink>
        </w:p>
        <w:p w14:paraId="3DC3BC24" w14:textId="624FBDBF"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28" w:history="1">
            <w:r w:rsidRPr="001F384C">
              <w:rPr>
                <w:rStyle w:val="Hyperlink"/>
                <w:rFonts w:eastAsia="Times New Roman"/>
                <w:noProof/>
              </w:rPr>
              <w:t>6.2</w:t>
            </w:r>
            <w:r>
              <w:rPr>
                <w:rFonts w:asciiTheme="minorHAnsi" w:eastAsiaTheme="minorEastAsia" w:hAnsiTheme="minorHAnsi" w:cstheme="minorBidi"/>
                <w:noProof/>
                <w:shd w:val="clear" w:color="auto" w:fill="auto"/>
              </w:rPr>
              <w:tab/>
            </w:r>
            <w:r w:rsidRPr="001F384C">
              <w:rPr>
                <w:rStyle w:val="Hyperlink"/>
                <w:rFonts w:eastAsia="Times New Roman"/>
                <w:noProof/>
              </w:rPr>
              <w:t>Infection and antibiotic prophylaxis</w:t>
            </w:r>
            <w:r>
              <w:rPr>
                <w:noProof/>
                <w:webHidden/>
              </w:rPr>
              <w:tab/>
            </w:r>
            <w:r>
              <w:rPr>
                <w:noProof/>
                <w:webHidden/>
              </w:rPr>
              <w:fldChar w:fldCharType="begin"/>
            </w:r>
            <w:r>
              <w:rPr>
                <w:noProof/>
                <w:webHidden/>
              </w:rPr>
              <w:instrText xml:space="preserve"> PAGEREF _Toc197602128 \h </w:instrText>
            </w:r>
            <w:r>
              <w:rPr>
                <w:noProof/>
                <w:webHidden/>
              </w:rPr>
            </w:r>
            <w:r>
              <w:rPr>
                <w:noProof/>
                <w:webHidden/>
              </w:rPr>
              <w:fldChar w:fldCharType="separate"/>
            </w:r>
            <w:r>
              <w:rPr>
                <w:noProof/>
                <w:webHidden/>
              </w:rPr>
              <w:t>5</w:t>
            </w:r>
            <w:r>
              <w:rPr>
                <w:noProof/>
                <w:webHidden/>
              </w:rPr>
              <w:fldChar w:fldCharType="end"/>
            </w:r>
          </w:hyperlink>
        </w:p>
        <w:p w14:paraId="19157C16" w14:textId="230F5DCF"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29" w:history="1">
            <w:r w:rsidRPr="001F384C">
              <w:rPr>
                <w:rStyle w:val="Hyperlink"/>
                <w:rFonts w:eastAsia="Times New Roman"/>
                <w:noProof/>
              </w:rPr>
              <w:t>6.3</w:t>
            </w:r>
            <w:r>
              <w:rPr>
                <w:rFonts w:asciiTheme="minorHAnsi" w:eastAsiaTheme="minorEastAsia" w:hAnsiTheme="minorHAnsi" w:cstheme="minorBidi"/>
                <w:noProof/>
                <w:shd w:val="clear" w:color="auto" w:fill="auto"/>
              </w:rPr>
              <w:tab/>
            </w:r>
            <w:r w:rsidRPr="001F384C">
              <w:rPr>
                <w:rStyle w:val="Hyperlink"/>
                <w:rFonts w:eastAsia="Times New Roman"/>
                <w:noProof/>
              </w:rPr>
              <w:t>Complications</w:t>
            </w:r>
            <w:r>
              <w:rPr>
                <w:noProof/>
                <w:webHidden/>
              </w:rPr>
              <w:tab/>
            </w:r>
            <w:r>
              <w:rPr>
                <w:noProof/>
                <w:webHidden/>
              </w:rPr>
              <w:fldChar w:fldCharType="begin"/>
            </w:r>
            <w:r>
              <w:rPr>
                <w:noProof/>
                <w:webHidden/>
              </w:rPr>
              <w:instrText xml:space="preserve"> PAGEREF _Toc197602129 \h </w:instrText>
            </w:r>
            <w:r>
              <w:rPr>
                <w:noProof/>
                <w:webHidden/>
              </w:rPr>
            </w:r>
            <w:r>
              <w:rPr>
                <w:noProof/>
                <w:webHidden/>
              </w:rPr>
              <w:fldChar w:fldCharType="separate"/>
            </w:r>
            <w:r>
              <w:rPr>
                <w:noProof/>
                <w:webHidden/>
              </w:rPr>
              <w:t>5</w:t>
            </w:r>
            <w:r>
              <w:rPr>
                <w:noProof/>
                <w:webHidden/>
              </w:rPr>
              <w:fldChar w:fldCharType="end"/>
            </w:r>
          </w:hyperlink>
        </w:p>
        <w:p w14:paraId="684604A6" w14:textId="1A4C96A1"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30" w:history="1">
            <w:r w:rsidRPr="001F384C">
              <w:rPr>
                <w:rStyle w:val="Hyperlink"/>
                <w:rFonts w:eastAsia="Times New Roman"/>
                <w:noProof/>
              </w:rPr>
              <w:t>6.4</w:t>
            </w:r>
            <w:r>
              <w:rPr>
                <w:rFonts w:asciiTheme="minorHAnsi" w:eastAsiaTheme="minorEastAsia" w:hAnsiTheme="minorHAnsi" w:cstheme="minorBidi"/>
                <w:noProof/>
                <w:shd w:val="clear" w:color="auto" w:fill="auto"/>
              </w:rPr>
              <w:tab/>
            </w:r>
            <w:r w:rsidRPr="001F384C">
              <w:rPr>
                <w:rStyle w:val="Hyperlink"/>
                <w:rFonts w:eastAsia="Times New Roman"/>
                <w:noProof/>
              </w:rPr>
              <w:t>Perforating and penetrating globe injuries from blepharoplasty</w:t>
            </w:r>
            <w:r>
              <w:rPr>
                <w:noProof/>
                <w:webHidden/>
              </w:rPr>
              <w:tab/>
            </w:r>
            <w:r>
              <w:rPr>
                <w:noProof/>
                <w:webHidden/>
              </w:rPr>
              <w:fldChar w:fldCharType="begin"/>
            </w:r>
            <w:r>
              <w:rPr>
                <w:noProof/>
                <w:webHidden/>
              </w:rPr>
              <w:instrText xml:space="preserve"> PAGEREF _Toc197602130 \h </w:instrText>
            </w:r>
            <w:r>
              <w:rPr>
                <w:noProof/>
                <w:webHidden/>
              </w:rPr>
            </w:r>
            <w:r>
              <w:rPr>
                <w:noProof/>
                <w:webHidden/>
              </w:rPr>
              <w:fldChar w:fldCharType="separate"/>
            </w:r>
            <w:r>
              <w:rPr>
                <w:noProof/>
                <w:webHidden/>
              </w:rPr>
              <w:t>6</w:t>
            </w:r>
            <w:r>
              <w:rPr>
                <w:noProof/>
                <w:webHidden/>
              </w:rPr>
              <w:fldChar w:fldCharType="end"/>
            </w:r>
          </w:hyperlink>
        </w:p>
        <w:p w14:paraId="612D3808" w14:textId="1FED4D4B"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31" w:history="1">
            <w:r w:rsidRPr="001F384C">
              <w:rPr>
                <w:rStyle w:val="Hyperlink"/>
                <w:noProof/>
              </w:rPr>
              <w:t>7</w:t>
            </w:r>
            <w:r>
              <w:rPr>
                <w:rFonts w:asciiTheme="minorHAnsi" w:eastAsiaTheme="minorEastAsia" w:hAnsiTheme="minorHAnsi" w:cstheme="minorBidi"/>
                <w:noProof/>
                <w:shd w:val="clear" w:color="auto" w:fill="auto"/>
              </w:rPr>
              <w:tab/>
            </w:r>
            <w:r w:rsidRPr="001F384C">
              <w:rPr>
                <w:rStyle w:val="Hyperlink"/>
                <w:noProof/>
              </w:rPr>
              <w:t>Alternatives to treatment</w:t>
            </w:r>
            <w:r>
              <w:rPr>
                <w:noProof/>
                <w:webHidden/>
              </w:rPr>
              <w:tab/>
            </w:r>
            <w:r>
              <w:rPr>
                <w:noProof/>
                <w:webHidden/>
              </w:rPr>
              <w:fldChar w:fldCharType="begin"/>
            </w:r>
            <w:r>
              <w:rPr>
                <w:noProof/>
                <w:webHidden/>
              </w:rPr>
              <w:instrText xml:space="preserve"> PAGEREF _Toc197602131 \h </w:instrText>
            </w:r>
            <w:r>
              <w:rPr>
                <w:noProof/>
                <w:webHidden/>
              </w:rPr>
            </w:r>
            <w:r>
              <w:rPr>
                <w:noProof/>
                <w:webHidden/>
              </w:rPr>
              <w:fldChar w:fldCharType="separate"/>
            </w:r>
            <w:r>
              <w:rPr>
                <w:noProof/>
                <w:webHidden/>
              </w:rPr>
              <w:t>6</w:t>
            </w:r>
            <w:r>
              <w:rPr>
                <w:noProof/>
                <w:webHidden/>
              </w:rPr>
              <w:fldChar w:fldCharType="end"/>
            </w:r>
          </w:hyperlink>
        </w:p>
        <w:p w14:paraId="1ECB820B" w14:textId="73F983A8"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32" w:history="1">
            <w:r w:rsidRPr="001F384C">
              <w:rPr>
                <w:rStyle w:val="Hyperlink"/>
                <w:noProof/>
              </w:rPr>
              <w:t>8</w:t>
            </w:r>
            <w:r>
              <w:rPr>
                <w:rFonts w:asciiTheme="minorHAnsi" w:eastAsiaTheme="minorEastAsia" w:hAnsiTheme="minorHAnsi" w:cstheme="minorBidi"/>
                <w:noProof/>
                <w:shd w:val="clear" w:color="auto" w:fill="auto"/>
              </w:rPr>
              <w:tab/>
            </w:r>
            <w:r w:rsidRPr="001F384C">
              <w:rPr>
                <w:rStyle w:val="Hyperlink"/>
                <w:noProof/>
              </w:rPr>
              <w:t>References</w:t>
            </w:r>
            <w:r>
              <w:rPr>
                <w:noProof/>
                <w:webHidden/>
              </w:rPr>
              <w:tab/>
            </w:r>
            <w:r>
              <w:rPr>
                <w:noProof/>
                <w:webHidden/>
              </w:rPr>
              <w:fldChar w:fldCharType="begin"/>
            </w:r>
            <w:r>
              <w:rPr>
                <w:noProof/>
                <w:webHidden/>
              </w:rPr>
              <w:instrText xml:space="preserve"> PAGEREF _Toc197602132 \h </w:instrText>
            </w:r>
            <w:r>
              <w:rPr>
                <w:noProof/>
                <w:webHidden/>
              </w:rPr>
            </w:r>
            <w:r>
              <w:rPr>
                <w:noProof/>
                <w:webHidden/>
              </w:rPr>
              <w:fldChar w:fldCharType="separate"/>
            </w:r>
            <w:r>
              <w:rPr>
                <w:noProof/>
                <w:webHidden/>
              </w:rPr>
              <w:t>7</w:t>
            </w:r>
            <w:r>
              <w:rPr>
                <w:noProof/>
                <w:webHidden/>
              </w:rPr>
              <w:fldChar w:fldCharType="end"/>
            </w:r>
          </w:hyperlink>
        </w:p>
        <w:p w14:paraId="0048B27F" w14:textId="0F1E4B34" w:rsidR="005023C7" w:rsidRDefault="005023C7">
          <w:pPr>
            <w:pStyle w:val="TOC1"/>
            <w:tabs>
              <w:tab w:val="left" w:pos="480"/>
              <w:tab w:val="right" w:leader="dot" w:pos="9016"/>
            </w:tabs>
            <w:rPr>
              <w:rFonts w:asciiTheme="minorHAnsi" w:eastAsiaTheme="minorEastAsia" w:hAnsiTheme="minorHAnsi" w:cstheme="minorBidi"/>
              <w:noProof/>
              <w:shd w:val="clear" w:color="auto" w:fill="auto"/>
            </w:rPr>
          </w:pPr>
          <w:hyperlink w:anchor="_Toc197602133" w:history="1">
            <w:r w:rsidRPr="001F384C">
              <w:rPr>
                <w:rStyle w:val="Hyperlink"/>
                <w:noProof/>
              </w:rPr>
              <w:t>9</w:t>
            </w:r>
            <w:r>
              <w:rPr>
                <w:rFonts w:asciiTheme="minorHAnsi" w:eastAsiaTheme="minorEastAsia" w:hAnsiTheme="minorHAnsi" w:cstheme="minorBidi"/>
                <w:noProof/>
                <w:shd w:val="clear" w:color="auto" w:fill="auto"/>
              </w:rPr>
              <w:tab/>
            </w:r>
            <w:r w:rsidRPr="001F384C">
              <w:rPr>
                <w:rStyle w:val="Hyperlink"/>
                <w:noProof/>
              </w:rPr>
              <w:t>Appendices</w:t>
            </w:r>
            <w:r>
              <w:rPr>
                <w:noProof/>
                <w:webHidden/>
              </w:rPr>
              <w:tab/>
            </w:r>
            <w:r>
              <w:rPr>
                <w:noProof/>
                <w:webHidden/>
              </w:rPr>
              <w:fldChar w:fldCharType="begin"/>
            </w:r>
            <w:r>
              <w:rPr>
                <w:noProof/>
                <w:webHidden/>
              </w:rPr>
              <w:instrText xml:space="preserve"> PAGEREF _Toc197602133 \h </w:instrText>
            </w:r>
            <w:r>
              <w:rPr>
                <w:noProof/>
                <w:webHidden/>
              </w:rPr>
            </w:r>
            <w:r>
              <w:rPr>
                <w:noProof/>
                <w:webHidden/>
              </w:rPr>
              <w:fldChar w:fldCharType="separate"/>
            </w:r>
            <w:r>
              <w:rPr>
                <w:noProof/>
                <w:webHidden/>
              </w:rPr>
              <w:t>8</w:t>
            </w:r>
            <w:r>
              <w:rPr>
                <w:noProof/>
                <w:webHidden/>
              </w:rPr>
              <w:fldChar w:fldCharType="end"/>
            </w:r>
          </w:hyperlink>
        </w:p>
        <w:p w14:paraId="7FF46516" w14:textId="48B07A17"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34" w:history="1">
            <w:r w:rsidRPr="001F384C">
              <w:rPr>
                <w:rStyle w:val="Hyperlink"/>
                <w:noProof/>
              </w:rPr>
              <w:t>9.1</w:t>
            </w:r>
            <w:r>
              <w:rPr>
                <w:rFonts w:asciiTheme="minorHAnsi" w:eastAsiaTheme="minorEastAsia" w:hAnsiTheme="minorHAnsi" w:cstheme="minorBidi"/>
                <w:noProof/>
                <w:shd w:val="clear" w:color="auto" w:fill="auto"/>
              </w:rPr>
              <w:tab/>
            </w:r>
            <w:r w:rsidRPr="001F384C">
              <w:rPr>
                <w:rStyle w:val="Hyperlink"/>
                <w:noProof/>
              </w:rPr>
              <w:t>Appendix 1 – Searching and screening method</w:t>
            </w:r>
            <w:r>
              <w:rPr>
                <w:noProof/>
                <w:webHidden/>
              </w:rPr>
              <w:tab/>
            </w:r>
            <w:r>
              <w:rPr>
                <w:noProof/>
                <w:webHidden/>
              </w:rPr>
              <w:fldChar w:fldCharType="begin"/>
            </w:r>
            <w:r>
              <w:rPr>
                <w:noProof/>
                <w:webHidden/>
              </w:rPr>
              <w:instrText xml:space="preserve"> PAGEREF _Toc197602134 \h </w:instrText>
            </w:r>
            <w:r>
              <w:rPr>
                <w:noProof/>
                <w:webHidden/>
              </w:rPr>
            </w:r>
            <w:r>
              <w:rPr>
                <w:noProof/>
                <w:webHidden/>
              </w:rPr>
              <w:fldChar w:fldCharType="separate"/>
            </w:r>
            <w:r>
              <w:rPr>
                <w:noProof/>
                <w:webHidden/>
              </w:rPr>
              <w:t>8</w:t>
            </w:r>
            <w:r>
              <w:rPr>
                <w:noProof/>
                <w:webHidden/>
              </w:rPr>
              <w:fldChar w:fldCharType="end"/>
            </w:r>
          </w:hyperlink>
        </w:p>
        <w:p w14:paraId="5DD6EA9D" w14:textId="5B7051F7" w:rsidR="005023C7" w:rsidRDefault="005023C7">
          <w:pPr>
            <w:pStyle w:val="TOC2"/>
            <w:tabs>
              <w:tab w:val="left" w:pos="960"/>
              <w:tab w:val="right" w:leader="dot" w:pos="9016"/>
            </w:tabs>
            <w:rPr>
              <w:rFonts w:asciiTheme="minorHAnsi" w:eastAsiaTheme="minorEastAsia" w:hAnsiTheme="minorHAnsi" w:cstheme="minorBidi"/>
              <w:noProof/>
              <w:shd w:val="clear" w:color="auto" w:fill="auto"/>
            </w:rPr>
          </w:pPr>
          <w:hyperlink w:anchor="_Toc197602135" w:history="1">
            <w:r w:rsidRPr="001F384C">
              <w:rPr>
                <w:rStyle w:val="Hyperlink"/>
                <w:noProof/>
              </w:rPr>
              <w:t>9.2</w:t>
            </w:r>
            <w:r>
              <w:rPr>
                <w:rFonts w:asciiTheme="minorHAnsi" w:eastAsiaTheme="minorEastAsia" w:hAnsiTheme="minorHAnsi" w:cstheme="minorBidi"/>
                <w:noProof/>
                <w:shd w:val="clear" w:color="auto" w:fill="auto"/>
              </w:rPr>
              <w:tab/>
            </w:r>
            <w:r w:rsidRPr="001F384C">
              <w:rPr>
                <w:rStyle w:val="Hyperlink"/>
                <w:noProof/>
              </w:rPr>
              <w:t>Appendix 2 – Search strategy</w:t>
            </w:r>
            <w:r>
              <w:rPr>
                <w:noProof/>
                <w:webHidden/>
              </w:rPr>
              <w:tab/>
            </w:r>
            <w:r>
              <w:rPr>
                <w:noProof/>
                <w:webHidden/>
              </w:rPr>
              <w:fldChar w:fldCharType="begin"/>
            </w:r>
            <w:r>
              <w:rPr>
                <w:noProof/>
                <w:webHidden/>
              </w:rPr>
              <w:instrText xml:space="preserve"> PAGEREF _Toc197602135 \h </w:instrText>
            </w:r>
            <w:r>
              <w:rPr>
                <w:noProof/>
                <w:webHidden/>
              </w:rPr>
            </w:r>
            <w:r>
              <w:rPr>
                <w:noProof/>
                <w:webHidden/>
              </w:rPr>
              <w:fldChar w:fldCharType="separate"/>
            </w:r>
            <w:r>
              <w:rPr>
                <w:noProof/>
                <w:webHidden/>
              </w:rPr>
              <w:t>8</w:t>
            </w:r>
            <w:r>
              <w:rPr>
                <w:noProof/>
                <w:webHidden/>
              </w:rPr>
              <w:fldChar w:fldCharType="end"/>
            </w:r>
          </w:hyperlink>
        </w:p>
        <w:p w14:paraId="25060BC4" w14:textId="18F3675F"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02121"/>
      <w:r w:rsidRPr="00EB620C">
        <w:lastRenderedPageBreak/>
        <w:t>Title</w:t>
      </w:r>
      <w:bookmarkEnd w:id="0"/>
    </w:p>
    <w:p w14:paraId="3F209392" w14:textId="1A636462" w:rsidR="003E1514" w:rsidRPr="001636EF" w:rsidRDefault="00A30E3E" w:rsidP="00B15943">
      <w:r>
        <w:t>Blepharoplasty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02122"/>
      <w:bookmarkStart w:id="2" w:name="_Toc182494402"/>
      <w:bookmarkStart w:id="3" w:name="_Toc182801996"/>
      <w:r w:rsidRPr="001636EF">
        <w:t>Questions</w:t>
      </w:r>
      <w:bookmarkEnd w:id="1"/>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02123"/>
      <w:r w:rsidRPr="001636EF">
        <w:t>Method</w:t>
      </w:r>
      <w:r w:rsidR="005730D2" w:rsidRPr="001636EF">
        <w:t xml:space="preserve"> and </w:t>
      </w:r>
      <w:r w:rsidRPr="001636EF">
        <w:t>approach</w:t>
      </w:r>
      <w:bookmarkEnd w:id="2"/>
      <w:bookmarkEnd w:id="3"/>
      <w:bookmarkEnd w:id="4"/>
    </w:p>
    <w:p w14:paraId="1BCD62DF" w14:textId="4A71C60E"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EB7C90">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602124"/>
      <w:r w:rsidRPr="001636EF">
        <w:t>Referral criteria</w:t>
      </w:r>
      <w:bookmarkEnd w:id="5"/>
    </w:p>
    <w:p w14:paraId="7DB9FE1A" w14:textId="3F5EC08F" w:rsidR="0001295D" w:rsidRPr="00075331" w:rsidRDefault="0001295D" w:rsidP="00697D3D">
      <w:r w:rsidRPr="00075331">
        <w:t xml:space="preserve">Several commissioning guidelines for individual NHS Trusts in England highlight that blepharoplasty is usually considered a cosmetic procedure and that the NHS will only fund </w:t>
      </w:r>
      <w:r>
        <w:t xml:space="preserve">it </w:t>
      </w:r>
      <w:r w:rsidRPr="00075331">
        <w:t>when it improves vision or corrects a functional deficit</w:t>
      </w:r>
      <w:r>
        <w:t xml:space="preserve">. These </w:t>
      </w:r>
      <w:r w:rsidR="00776E21">
        <w:t xml:space="preserve">guidelines </w:t>
      </w:r>
      <w:r>
        <w:t>include commissioning guidelines from</w:t>
      </w:r>
      <w:r w:rsidRPr="00075331">
        <w:t xml:space="preserve"> NHS Bristol, North Somerset and South Gloucestershire (2024)</w:t>
      </w:r>
      <w:r w:rsidRPr="00075331">
        <w:rPr>
          <w:vertAlign w:val="superscript"/>
        </w:rPr>
        <w:t>1</w:t>
      </w:r>
      <w:r w:rsidRPr="00075331">
        <w:t xml:space="preserve"> and Derby and Derbyshire (2024)</w:t>
      </w:r>
      <w:r>
        <w:t>.</w:t>
      </w:r>
      <w:r w:rsidRPr="00075331">
        <w:rPr>
          <w:vertAlign w:val="superscript"/>
        </w:rPr>
        <w:t>2</w:t>
      </w:r>
      <w:r w:rsidRPr="00075331">
        <w:t xml:space="preserve"> However, no national guidance or underpinning evidence is cited in these guidelines.</w:t>
      </w:r>
    </w:p>
    <w:p w14:paraId="63562726" w14:textId="77777777" w:rsidR="0001295D" w:rsidRPr="00075331" w:rsidRDefault="0001295D" w:rsidP="0001295D">
      <w:r w:rsidRPr="00075331">
        <w:t>A report</w:t>
      </w:r>
      <w:r>
        <w:t xml:space="preserve"> </w:t>
      </w:r>
      <w:r w:rsidRPr="00075331">
        <w:t xml:space="preserve">for the American Academy of Ophthalmology by Cahill </w:t>
      </w:r>
      <w:r w:rsidRPr="00186FE1">
        <w:t>et al</w:t>
      </w:r>
      <w:r>
        <w:t>.</w:t>
      </w:r>
      <w:r w:rsidRPr="00075331">
        <w:t xml:space="preserve"> (2011), based on a systematic review, identified functional indications for ptosis and upper eyelid blepharoplasty surgery:</w:t>
      </w:r>
    </w:p>
    <w:p w14:paraId="7B28D8CF" w14:textId="36CE0E8D" w:rsidR="0001295D" w:rsidRPr="00B72FF9" w:rsidRDefault="004127A0" w:rsidP="00B72FF9">
      <w:pPr>
        <w:pStyle w:val="ListParagraph"/>
      </w:pPr>
      <w:r>
        <w:t>M</w:t>
      </w:r>
      <w:r w:rsidR="0001295D" w:rsidRPr="00B72FF9">
        <w:t>arginal Reflex Distance</w:t>
      </w:r>
      <w:r w:rsidR="00410DFC">
        <w:t xml:space="preserve"> 1</w:t>
      </w:r>
      <w:r w:rsidR="0001295D" w:rsidRPr="00B72FF9">
        <w:t xml:space="preserve"> (MRD</w:t>
      </w:r>
      <w:r w:rsidR="00C23BEE">
        <w:t>1</w:t>
      </w:r>
      <w:r w:rsidR="0001295D" w:rsidRPr="00B72FF9">
        <w:t>) of 2 mm or less measured in primary gaze</w:t>
      </w:r>
    </w:p>
    <w:p w14:paraId="69126EA3" w14:textId="05C4B4D9" w:rsidR="0001295D" w:rsidRPr="00B72FF9" w:rsidRDefault="0001295D" w:rsidP="00B72FF9">
      <w:pPr>
        <w:pStyle w:val="ListParagraph"/>
      </w:pPr>
      <w:r w:rsidRPr="00B72FF9">
        <w:t>superior visual field loss of 12 degrees or 24</w:t>
      </w:r>
      <w:r w:rsidR="00B55E22">
        <w:t xml:space="preserve"> </w:t>
      </w:r>
      <w:r w:rsidRPr="00B72FF9">
        <w:t>%</w:t>
      </w:r>
    </w:p>
    <w:p w14:paraId="032B63B9" w14:textId="161CAAAF" w:rsidR="0001295D" w:rsidRPr="00075331" w:rsidRDefault="0001295D" w:rsidP="00B72FF9">
      <w:pPr>
        <w:pStyle w:val="ListParagraph"/>
      </w:pPr>
      <w:r w:rsidRPr="00B72FF9">
        <w:t>down</w:t>
      </w:r>
      <w:r w:rsidR="00EC7926">
        <w:t xml:space="preserve"> </w:t>
      </w:r>
      <w:r w:rsidRPr="00B72FF9">
        <w:t>gaze ptosis impairing reading documented by MRD1 of 2 mm or less measured in down</w:t>
      </w:r>
      <w:r w:rsidRPr="00075331">
        <w:t xml:space="preserve"> gaze.</w:t>
      </w:r>
      <w:r w:rsidRPr="00075331">
        <w:rPr>
          <w:vertAlign w:val="superscript"/>
        </w:rPr>
        <w:t>3</w:t>
      </w:r>
    </w:p>
    <w:p w14:paraId="329D5107" w14:textId="77777777" w:rsidR="0001295D" w:rsidRPr="00075331" w:rsidRDefault="0001295D" w:rsidP="0001295D">
      <w:r w:rsidRPr="00075331">
        <w:lastRenderedPageBreak/>
        <w:t>Ptosis and upper eyelid blepharoplasty were also found to be functionally beneficial for the following qualitative findings:</w:t>
      </w:r>
    </w:p>
    <w:p w14:paraId="583A4273" w14:textId="09C7D889" w:rsidR="0001295D" w:rsidRPr="00B72FF9" w:rsidRDefault="0001295D" w:rsidP="00B72FF9">
      <w:pPr>
        <w:pStyle w:val="ListParagraph"/>
      </w:pPr>
      <w:r w:rsidRPr="00075331">
        <w:t>self</w:t>
      </w:r>
      <w:r w:rsidR="00EB7C90">
        <w:t>-</w:t>
      </w:r>
      <w:r w:rsidRPr="00B72FF9">
        <w:t>reported functional impairment from upper eyelid droop</w:t>
      </w:r>
    </w:p>
    <w:p w14:paraId="4E141C81" w14:textId="4DA73A89" w:rsidR="0001295D" w:rsidRPr="00B72FF9" w:rsidRDefault="0001295D" w:rsidP="00B72FF9">
      <w:pPr>
        <w:pStyle w:val="ListParagraph"/>
      </w:pPr>
      <w:r w:rsidRPr="00B72FF9">
        <w:t>chin-up</w:t>
      </w:r>
      <w:r w:rsidR="00513AAB">
        <w:t xml:space="preserve"> backward</w:t>
      </w:r>
      <w:r w:rsidRPr="00B72FF9">
        <w:t xml:space="preserve"> head tilt induced by visual field impairment caused by lids</w:t>
      </w:r>
    </w:p>
    <w:p w14:paraId="74965BD3" w14:textId="6AA3BB33" w:rsidR="0001295D" w:rsidRPr="00B72FF9" w:rsidRDefault="0001295D" w:rsidP="00B72FF9">
      <w:pPr>
        <w:pStyle w:val="ListParagraph"/>
      </w:pPr>
      <w:r w:rsidRPr="00B72FF9">
        <w:t>interference with occupational duties and safety resulting from visual impairment caused by the upper lids</w:t>
      </w:r>
    </w:p>
    <w:p w14:paraId="474D9B1F" w14:textId="77777777" w:rsidR="0001295D" w:rsidRPr="00075331" w:rsidRDefault="0001295D" w:rsidP="00B72FF9">
      <w:pPr>
        <w:pStyle w:val="ListParagraph"/>
      </w:pPr>
      <w:r w:rsidRPr="00B72FF9">
        <w:t>symptoms of discomfort, eye strain or visual interference because of the upper eyelid position</w:t>
      </w:r>
      <w:r w:rsidRPr="00075331">
        <w:t>.</w:t>
      </w:r>
    </w:p>
    <w:p w14:paraId="0744DCA4" w14:textId="77777777" w:rsidR="0001295D" w:rsidRPr="00075331" w:rsidRDefault="0001295D" w:rsidP="0001295D">
      <w:r w:rsidRPr="00075331">
        <w:t>The reviewed literature in this report did not provide strong data on the following functional indications for ptosis and blepharoplasty surgery:</w:t>
      </w:r>
    </w:p>
    <w:p w14:paraId="77D13406" w14:textId="77777777" w:rsidR="0001295D" w:rsidRPr="00B72FF9" w:rsidRDefault="0001295D" w:rsidP="00B72FF9">
      <w:pPr>
        <w:pStyle w:val="ListParagraph"/>
      </w:pPr>
      <w:r w:rsidRPr="00B72FF9">
        <w:t>dermatitis</w:t>
      </w:r>
    </w:p>
    <w:p w14:paraId="2FC5D014" w14:textId="441155CB" w:rsidR="0001295D" w:rsidRPr="00B72FF9" w:rsidRDefault="0001295D" w:rsidP="00B72FF9">
      <w:pPr>
        <w:pStyle w:val="ListParagraph"/>
      </w:pPr>
      <w:r w:rsidRPr="00B72FF9">
        <w:t>difficulty wearing a prosthesis in an anophthalmic socket</w:t>
      </w:r>
    </w:p>
    <w:p w14:paraId="52CC5985" w14:textId="1D488233" w:rsidR="0001295D" w:rsidRPr="00B10404" w:rsidRDefault="0001295D" w:rsidP="00B72FF9">
      <w:pPr>
        <w:pStyle w:val="ListParagraph"/>
      </w:pPr>
      <w:r w:rsidRPr="00B72FF9">
        <w:t>temporal</w:t>
      </w:r>
      <w:r w:rsidRPr="00075331">
        <w:t xml:space="preserve"> visual field impairment preventing a driver from meeting licensing standards</w:t>
      </w:r>
      <w:r w:rsidR="00EB7C90">
        <w:t>.</w:t>
      </w:r>
    </w:p>
    <w:p w14:paraId="04931D62" w14:textId="793D6942" w:rsidR="0001295D" w:rsidRPr="00075331" w:rsidRDefault="0001295D" w:rsidP="00697D3D">
      <w:r w:rsidRPr="00075331">
        <w:t>The Massachusetts State government-funded healthcare benefits system published evidence-based Guidelines for Medical Necessity Determination, last revised in 2023</w:t>
      </w:r>
      <w:r w:rsidR="001D79D6">
        <w:t xml:space="preserve">, which </w:t>
      </w:r>
      <w:r>
        <w:t>state the following.</w:t>
      </w:r>
      <w:r w:rsidRPr="00075331">
        <w:rPr>
          <w:vertAlign w:val="superscript"/>
        </w:rPr>
        <w:t>4</w:t>
      </w:r>
    </w:p>
    <w:p w14:paraId="1ADAF8D1" w14:textId="68502941" w:rsidR="0001295D" w:rsidRPr="007B0ABA" w:rsidRDefault="0001295D" w:rsidP="008D55D2">
      <w:pPr>
        <w:pStyle w:val="ListParagraph"/>
        <w:numPr>
          <w:ilvl w:val="0"/>
          <w:numId w:val="43"/>
        </w:numPr>
        <w:ind w:right="284"/>
      </w:pPr>
      <w:r w:rsidRPr="007B0ABA">
        <w:t>Upper eyelid blepharoplasty may be medically necessary if any of the following indications are present:</w:t>
      </w:r>
    </w:p>
    <w:p w14:paraId="5D8836F3" w14:textId="12A86174" w:rsidR="0001295D" w:rsidRPr="007B0ABA" w:rsidRDefault="00CD1F6C" w:rsidP="00C22497">
      <w:pPr>
        <w:pStyle w:val="ListParagraph"/>
        <w:numPr>
          <w:ilvl w:val="0"/>
          <w:numId w:val="40"/>
        </w:numPr>
      </w:pPr>
      <w:r w:rsidRPr="007B0ABA">
        <w:t>to correct prosthesis difficulties in an anophthalmia socket</w:t>
      </w:r>
    </w:p>
    <w:p w14:paraId="4DB0FDFD" w14:textId="43B609E7" w:rsidR="0001295D" w:rsidRPr="007B0ABA" w:rsidRDefault="00CD1F6C" w:rsidP="00C22497">
      <w:pPr>
        <w:pStyle w:val="ListParagraph"/>
        <w:numPr>
          <w:ilvl w:val="0"/>
          <w:numId w:val="40"/>
        </w:numPr>
      </w:pPr>
      <w:r w:rsidRPr="007B0ABA">
        <w:t>to relieve painful symptoms of blepharospasm</w:t>
      </w:r>
    </w:p>
    <w:p w14:paraId="1A0CBA77" w14:textId="6815901F" w:rsidR="0001295D" w:rsidRPr="007B0ABA" w:rsidRDefault="00CD1F6C" w:rsidP="00C22497">
      <w:pPr>
        <w:pStyle w:val="ListParagraph"/>
        <w:numPr>
          <w:ilvl w:val="0"/>
          <w:numId w:val="40"/>
        </w:numPr>
      </w:pPr>
      <w:r w:rsidRPr="007B0ABA">
        <w:t>to treat peri</w:t>
      </w:r>
      <w:r w:rsidR="00144E36">
        <w:t>orbital</w:t>
      </w:r>
      <w:r w:rsidRPr="007B0ABA">
        <w:t xml:space="preserve"> sequelae of thyroid disease and nerve palsy</w:t>
      </w:r>
    </w:p>
    <w:p w14:paraId="755A1BC1" w14:textId="7BEEDD69" w:rsidR="0001295D" w:rsidRPr="007B0ABA" w:rsidRDefault="00CD1F6C" w:rsidP="00C22497">
      <w:pPr>
        <w:pStyle w:val="ListParagraph"/>
        <w:numPr>
          <w:ilvl w:val="0"/>
          <w:numId w:val="40"/>
        </w:numPr>
      </w:pPr>
      <w:r w:rsidRPr="007B0ABA">
        <w:t xml:space="preserve">to </w:t>
      </w:r>
      <w:r w:rsidR="0001295D" w:rsidRPr="007B0ABA">
        <w:t>remove excess tissue of the upper eyelid causing functional visual impairment when the following criteria (i through iv) are present.</w:t>
      </w:r>
    </w:p>
    <w:p w14:paraId="1CE7A19E" w14:textId="333606B5" w:rsidR="0001295D" w:rsidRPr="007B0ABA" w:rsidRDefault="00CD1F6C" w:rsidP="008D55D2">
      <w:pPr>
        <w:pStyle w:val="ListParagraph"/>
        <w:numPr>
          <w:ilvl w:val="1"/>
          <w:numId w:val="42"/>
        </w:numPr>
        <w:ind w:left="1276" w:right="284"/>
      </w:pPr>
      <w:r w:rsidRPr="007B0ABA">
        <w:t>the patient must have a complaint of functional physical impairment directly related to an abnormality of the eyelid(s)</w:t>
      </w:r>
    </w:p>
    <w:p w14:paraId="7D2FF074" w14:textId="79526592" w:rsidR="0001295D" w:rsidRPr="007B0ABA" w:rsidRDefault="00CD1F6C" w:rsidP="008D55D2">
      <w:pPr>
        <w:pStyle w:val="ListParagraph"/>
        <w:numPr>
          <w:ilvl w:val="1"/>
          <w:numId w:val="42"/>
        </w:numPr>
        <w:ind w:left="1276" w:right="284"/>
      </w:pPr>
      <w:r w:rsidRPr="007B0ABA">
        <w:t>blepharoptosis has been ruled out as the primary cause of visual field obstruction</w:t>
      </w:r>
    </w:p>
    <w:p w14:paraId="33288BFA" w14:textId="78940308" w:rsidR="0001295D" w:rsidRPr="007B0ABA" w:rsidRDefault="00CD1F6C" w:rsidP="008D55D2">
      <w:pPr>
        <w:pStyle w:val="ListParagraph"/>
        <w:numPr>
          <w:ilvl w:val="1"/>
          <w:numId w:val="42"/>
        </w:numPr>
        <w:ind w:left="1276" w:right="284"/>
      </w:pPr>
      <w:r w:rsidRPr="007B0ABA">
        <w:t>colour photographs in straight gaze must show the redundant eyelid tissue overhanging the upper eyelid margin or resting on or pushing down on the eyelashes</w:t>
      </w:r>
    </w:p>
    <w:p w14:paraId="358EB6C9" w14:textId="52CAC441" w:rsidR="0001295D" w:rsidRPr="007B0ABA" w:rsidRDefault="00CD1F6C" w:rsidP="008D55D2">
      <w:pPr>
        <w:pStyle w:val="ListParagraph"/>
        <w:numPr>
          <w:ilvl w:val="1"/>
          <w:numId w:val="42"/>
        </w:numPr>
        <w:ind w:left="1276" w:right="284"/>
      </w:pPr>
      <w:r w:rsidRPr="007B0ABA">
        <w:t xml:space="preserve">visual </w:t>
      </w:r>
      <w:r w:rsidR="0001295D" w:rsidRPr="007B0ABA">
        <w:t>field testing must be automated and show superior visual field loss of at least 12 degrees untaped, and with lid in taped position must show an improvement of 30</w:t>
      </w:r>
      <w:r w:rsidR="00EB7C90" w:rsidRPr="00B72FF9">
        <w:t> </w:t>
      </w:r>
      <w:r w:rsidR="0001295D" w:rsidRPr="007B0ABA">
        <w:t>% or more in the number of points seen. Visual field testing must correlate with photographic documentation.</w:t>
      </w:r>
    </w:p>
    <w:p w14:paraId="3F070301" w14:textId="0C00C1D0" w:rsidR="0001295D" w:rsidRPr="007B0ABA" w:rsidRDefault="0001295D" w:rsidP="00B87B03">
      <w:pPr>
        <w:pStyle w:val="ListParagraph"/>
        <w:numPr>
          <w:ilvl w:val="0"/>
          <w:numId w:val="43"/>
        </w:numPr>
        <w:ind w:right="284"/>
      </w:pPr>
      <w:r w:rsidRPr="007B0ABA">
        <w:lastRenderedPageBreak/>
        <w:t>Lower eyelid blepharoplasty may be medically necessary when all the following criteria are met:</w:t>
      </w:r>
    </w:p>
    <w:p w14:paraId="0B0B09DE" w14:textId="6E4B3CD5" w:rsidR="0001295D" w:rsidRPr="007B0ABA" w:rsidRDefault="00CD1F6C" w:rsidP="00B87B03">
      <w:pPr>
        <w:pStyle w:val="ListParagraph"/>
        <w:numPr>
          <w:ilvl w:val="1"/>
          <w:numId w:val="45"/>
        </w:numPr>
        <w:ind w:left="709" w:right="284"/>
      </w:pPr>
      <w:r w:rsidRPr="007B0ABA">
        <w:t>the patient must have a complaint of functional physical impairment directly related to an abnormality of the lower eyelid(s)</w:t>
      </w:r>
    </w:p>
    <w:p w14:paraId="41864E95" w14:textId="175CB28A" w:rsidR="0001295D" w:rsidRPr="007B0ABA" w:rsidRDefault="00CD1F6C" w:rsidP="00B87B03">
      <w:pPr>
        <w:pStyle w:val="ListParagraph"/>
        <w:numPr>
          <w:ilvl w:val="1"/>
          <w:numId w:val="45"/>
        </w:numPr>
        <w:ind w:left="709" w:right="284"/>
      </w:pPr>
      <w:r w:rsidRPr="007B0ABA">
        <w:t>excessive skin or tissue is sufficient to impair eye closing, corneal integrity, or normal tearing</w:t>
      </w:r>
    </w:p>
    <w:p w14:paraId="5881882A" w14:textId="0ED1F068" w:rsidR="0001295D" w:rsidRPr="007B0ABA" w:rsidRDefault="00CD1F6C" w:rsidP="00B87B03">
      <w:pPr>
        <w:pStyle w:val="ListParagraph"/>
        <w:numPr>
          <w:ilvl w:val="1"/>
          <w:numId w:val="45"/>
        </w:numPr>
        <w:ind w:left="709" w:right="284"/>
      </w:pPr>
      <w:r w:rsidRPr="007B0ABA">
        <w:t xml:space="preserve">colour </w:t>
      </w:r>
      <w:r w:rsidR="0001295D" w:rsidRPr="007B0ABA">
        <w:t>photograph(s) must show the defect described and at least two photographs in eye-open and eye-closed positions must be submitted.</w:t>
      </w:r>
    </w:p>
    <w:p w14:paraId="7E44DB2C" w14:textId="15BA207D" w:rsidR="005C13E1" w:rsidRDefault="005C13E1" w:rsidP="00EB620C">
      <w:pPr>
        <w:pStyle w:val="Heading1"/>
      </w:pPr>
      <w:bookmarkStart w:id="6" w:name="_Toc197602125"/>
      <w:r w:rsidRPr="001636EF">
        <w:t>Benefits</w:t>
      </w:r>
      <w:bookmarkEnd w:id="6"/>
    </w:p>
    <w:p w14:paraId="2B6EECC0" w14:textId="5EB0DDC4" w:rsidR="000B22DF" w:rsidRPr="00075331" w:rsidRDefault="000B22DF" w:rsidP="00697D3D">
      <w:r w:rsidRPr="00075331">
        <w:t>A guideline from the Dutch Federation of Medical Specialists Guidelines Database (2021) on the surgical correction of blepharo-</w:t>
      </w:r>
      <w:r w:rsidR="00451DAC">
        <w:t xml:space="preserve"> and </w:t>
      </w:r>
      <w:r w:rsidRPr="00075331">
        <w:t>dermatochalasis, blepharoptosis and eyebrow ptosis lists the most important outcome measures relevant to the patient concerning the effectiveness of the procedure:</w:t>
      </w:r>
    </w:p>
    <w:p w14:paraId="597D48A2" w14:textId="77777777" w:rsidR="000B22DF" w:rsidRPr="00075331" w:rsidRDefault="000B22DF" w:rsidP="00697D3D">
      <w:pPr>
        <w:pStyle w:val="ListParagraph"/>
      </w:pPr>
      <w:r w:rsidRPr="00075331">
        <w:t>improvement of field of vision or vision*</w:t>
      </w:r>
    </w:p>
    <w:p w14:paraId="3658423F" w14:textId="77777777" w:rsidR="000B22DF" w:rsidRPr="00075331" w:rsidRDefault="000B22DF" w:rsidP="00697D3D">
      <w:pPr>
        <w:pStyle w:val="ListParagraph"/>
      </w:pPr>
      <w:r w:rsidRPr="00075331">
        <w:t>quality of life*</w:t>
      </w:r>
    </w:p>
    <w:p w14:paraId="72F24B18" w14:textId="77777777" w:rsidR="000B22DF" w:rsidRPr="00075331" w:rsidRDefault="000B22DF" w:rsidP="00697D3D">
      <w:pPr>
        <w:pStyle w:val="ListParagraph"/>
      </w:pPr>
      <w:r w:rsidRPr="00075331">
        <w:t>headache*</w:t>
      </w:r>
    </w:p>
    <w:p w14:paraId="5437BA40" w14:textId="08646AD4" w:rsidR="000B22DF" w:rsidRPr="00075331" w:rsidRDefault="000B22DF" w:rsidP="00697D3D">
      <w:pPr>
        <w:pStyle w:val="ListParagraph"/>
      </w:pPr>
      <w:r w:rsidRPr="00075331">
        <w:t>heavy or pressing sensation of eyelids*</w:t>
      </w:r>
    </w:p>
    <w:p w14:paraId="78F0FDB1" w14:textId="77777777" w:rsidR="000B22DF" w:rsidRPr="00075331" w:rsidRDefault="000B22DF" w:rsidP="00697D3D">
      <w:pPr>
        <w:pStyle w:val="ListParagraph"/>
      </w:pPr>
      <w:r w:rsidRPr="00075331">
        <w:t>cosmetic result (contour, symmetry)</w:t>
      </w:r>
      <w:r>
        <w:t>.</w:t>
      </w:r>
      <w:r w:rsidRPr="00075331">
        <w:rPr>
          <w:vertAlign w:val="superscript"/>
        </w:rPr>
        <w:t>5</w:t>
      </w:r>
    </w:p>
    <w:p w14:paraId="77B32CF4" w14:textId="77777777" w:rsidR="000B22DF" w:rsidRPr="00075331" w:rsidRDefault="000B22DF" w:rsidP="00E516C9">
      <w:pPr>
        <w:spacing w:after="0" w:line="240" w:lineRule="auto"/>
        <w:textAlignment w:val="baseline"/>
        <w:rPr>
          <w:rFonts w:eastAsia="Times New Roman"/>
          <w:kern w:val="0"/>
          <w14:ligatures w14:val="none"/>
        </w:rPr>
      </w:pPr>
      <w:r w:rsidRPr="00075331">
        <w:rPr>
          <w:rFonts w:eastAsia="Times New Roman"/>
          <w:kern w:val="0"/>
          <w14:ligatures w14:val="none"/>
        </w:rPr>
        <w:t>*Considered to be critical outcome measures</w:t>
      </w:r>
    </w:p>
    <w:p w14:paraId="2FD07431" w14:textId="77777777" w:rsidR="000B22DF" w:rsidRPr="00075331" w:rsidRDefault="000B22DF" w:rsidP="000B22DF">
      <w:pPr>
        <w:spacing w:after="0" w:line="240" w:lineRule="auto"/>
        <w:textAlignment w:val="baseline"/>
        <w:rPr>
          <w:rFonts w:eastAsia="Times New Roman"/>
          <w:kern w:val="0"/>
          <w14:ligatures w14:val="none"/>
        </w:rPr>
      </w:pPr>
    </w:p>
    <w:p w14:paraId="6B0656D6" w14:textId="3FC89FE0" w:rsidR="000B22DF" w:rsidRPr="00075331" w:rsidRDefault="000B22DF" w:rsidP="00490438">
      <w:r w:rsidRPr="00075331">
        <w:t xml:space="preserve">A systematic review by Hollander </w:t>
      </w:r>
      <w:r w:rsidRPr="00D14DE5">
        <w:t>et al</w:t>
      </w:r>
      <w:r>
        <w:t>.</w:t>
      </w:r>
      <w:r w:rsidRPr="00075331">
        <w:t xml:space="preserve"> (2019)</w:t>
      </w:r>
      <w:r>
        <w:t>,</w:t>
      </w:r>
      <w:r w:rsidRPr="00075331">
        <w:t xml:space="preserve"> </w:t>
      </w:r>
      <w:r>
        <w:t>which evaluated</w:t>
      </w:r>
      <w:r w:rsidRPr="00075331">
        <w:t xml:space="preserve"> functional outcomes of upper eyelid blepharoplasty</w:t>
      </w:r>
      <w:r>
        <w:t>,</w:t>
      </w:r>
      <w:r w:rsidRPr="00075331">
        <w:t xml:space="preserve"> found that upper blepharoplasty is accompanied by a range of beneficial functional outcomes including an increased visual field and improvement in headache</w:t>
      </w:r>
      <w:r w:rsidR="00E516C9">
        <w:t>-</w:t>
      </w:r>
      <w:r w:rsidRPr="00075331">
        <w:t xml:space="preserve"> and vision-related quality of life and eyelid sensitivity.</w:t>
      </w:r>
      <w:r w:rsidRPr="00075331">
        <w:rPr>
          <w:vertAlign w:val="superscript"/>
        </w:rPr>
        <w:t>6</w:t>
      </w:r>
    </w:p>
    <w:p w14:paraId="08CA7D0B" w14:textId="1D35537E" w:rsidR="000B22DF" w:rsidRPr="00075331" w:rsidRDefault="000B22DF" w:rsidP="00490438">
      <w:pPr>
        <w:rPr>
          <w:rFonts w:eastAsia="Times New Roman"/>
          <w:kern w:val="0"/>
          <w14:ligatures w14:val="none"/>
        </w:rPr>
      </w:pPr>
      <w:r w:rsidRPr="00075331">
        <w:rPr>
          <w:rFonts w:eastAsia="Times New Roman"/>
          <w:kern w:val="0"/>
          <w14:ligatures w14:val="none"/>
        </w:rPr>
        <w:t xml:space="preserve">A recent randomised controlled trial </w:t>
      </w:r>
      <w:r w:rsidR="00490438">
        <w:rPr>
          <w:rFonts w:eastAsia="Times New Roman"/>
          <w:kern w:val="0"/>
          <w14:ligatures w14:val="none"/>
        </w:rPr>
        <w:t xml:space="preserve">by </w:t>
      </w:r>
      <w:r w:rsidRPr="00075331">
        <w:rPr>
          <w:rFonts w:eastAsia="Times New Roman"/>
          <w:kern w:val="0"/>
          <w14:ligatures w14:val="none"/>
        </w:rPr>
        <w:t xml:space="preserve">Hollander </w:t>
      </w:r>
      <w:r w:rsidRPr="00D14DE5">
        <w:rPr>
          <w:rFonts w:eastAsia="Times New Roman"/>
          <w:kern w:val="0"/>
          <w14:ligatures w14:val="none"/>
        </w:rPr>
        <w:t>et al</w:t>
      </w:r>
      <w:r>
        <w:rPr>
          <w:rFonts w:eastAsia="Times New Roman"/>
          <w:kern w:val="0"/>
          <w14:ligatures w14:val="none"/>
        </w:rPr>
        <w:t>.</w:t>
      </w:r>
      <w:r w:rsidRPr="00075331">
        <w:rPr>
          <w:rFonts w:eastAsia="Times New Roman"/>
          <w:kern w:val="0"/>
          <w14:ligatures w14:val="none"/>
        </w:rPr>
        <w:t xml:space="preserve"> </w:t>
      </w:r>
      <w:r w:rsidR="00490438">
        <w:rPr>
          <w:rFonts w:eastAsia="Times New Roman"/>
          <w:kern w:val="0"/>
          <w14:ligatures w14:val="none"/>
        </w:rPr>
        <w:t>(</w:t>
      </w:r>
      <w:r w:rsidRPr="00075331">
        <w:rPr>
          <w:rFonts w:eastAsia="Times New Roman"/>
          <w:kern w:val="0"/>
          <w14:ligatures w14:val="none"/>
        </w:rPr>
        <w:t>2023) examined the effects of upper blepharoplasty techniques on headaches, eyebrow position</w:t>
      </w:r>
      <w:r>
        <w:rPr>
          <w:rFonts w:eastAsia="Times New Roman"/>
          <w:kern w:val="0"/>
          <w14:ligatures w14:val="none"/>
        </w:rPr>
        <w:t xml:space="preserve"> and</w:t>
      </w:r>
      <w:r w:rsidRPr="00075331">
        <w:rPr>
          <w:rFonts w:eastAsia="Times New Roman"/>
          <w:kern w:val="0"/>
          <w14:ligatures w14:val="none"/>
        </w:rPr>
        <w:t xml:space="preserve"> electromyographic outcomes. The authors reported that eyebrow height decreased, and patients reported fewer headaches after upper blepharoplasty irrespective of the technique used.</w:t>
      </w:r>
      <w:r w:rsidRPr="00075331">
        <w:rPr>
          <w:rFonts w:eastAsia="Times New Roman"/>
          <w:kern w:val="0"/>
          <w:vertAlign w:val="superscript"/>
          <w14:ligatures w14:val="none"/>
        </w:rPr>
        <w:t>8</w:t>
      </w:r>
    </w:p>
    <w:p w14:paraId="3A125F25" w14:textId="77777777" w:rsidR="000B22DF" w:rsidRPr="0068501A" w:rsidRDefault="000B22DF" w:rsidP="00490438">
      <w:pPr>
        <w:rPr>
          <w:rFonts w:eastAsia="Times New Roman"/>
          <w:kern w:val="0"/>
          <w14:ligatures w14:val="none"/>
        </w:rPr>
      </w:pPr>
      <w:r w:rsidRPr="00075331">
        <w:rPr>
          <w:rFonts w:eastAsia="Times New Roman"/>
          <w:kern w:val="0"/>
          <w14:ligatures w14:val="none"/>
        </w:rPr>
        <w:t xml:space="preserve">A further randomised controlled trial by Vasović </w:t>
      </w:r>
      <w:r w:rsidRPr="00CC2436">
        <w:rPr>
          <w:rFonts w:eastAsia="Times New Roman"/>
          <w:kern w:val="0"/>
          <w14:ligatures w14:val="none"/>
        </w:rPr>
        <w:t>et al</w:t>
      </w:r>
      <w:r>
        <w:rPr>
          <w:rFonts w:eastAsia="Times New Roman"/>
          <w:kern w:val="0"/>
          <w14:ligatures w14:val="none"/>
        </w:rPr>
        <w:t>.</w:t>
      </w:r>
      <w:r w:rsidRPr="00D54A6C">
        <w:rPr>
          <w:rFonts w:eastAsia="Times New Roman"/>
          <w:kern w:val="0"/>
          <w14:ligatures w14:val="none"/>
        </w:rPr>
        <w:t xml:space="preserve"> </w:t>
      </w:r>
      <w:r w:rsidRPr="00075331">
        <w:rPr>
          <w:rFonts w:eastAsia="Times New Roman"/>
          <w:kern w:val="0"/>
          <w14:ligatures w14:val="none"/>
        </w:rPr>
        <w:t>(2024) evaluated the impact of upper eyelid blepharoplasty on patients’ quality of life.</w:t>
      </w:r>
      <w:r w:rsidRPr="00075331">
        <w:rPr>
          <w:rFonts w:eastAsia="Times New Roman"/>
          <w:kern w:val="0"/>
          <w:vertAlign w:val="superscript"/>
          <w14:ligatures w14:val="none"/>
        </w:rPr>
        <w:t>7</w:t>
      </w:r>
      <w:r w:rsidRPr="00075331">
        <w:rPr>
          <w:rFonts w:eastAsia="Times New Roman"/>
          <w:kern w:val="0"/>
          <w14:ligatures w14:val="none"/>
        </w:rPr>
        <w:t xml:space="preserve"> It indicated significant improvements in multiple domains of patient‐reported outcomes following upper eyelid blepharoplasty. These include satisfaction with eyes, overall face satisfaction, satisfaction with the outcome, psychological function</w:t>
      </w:r>
      <w:r>
        <w:rPr>
          <w:rFonts w:eastAsia="Times New Roman"/>
          <w:kern w:val="0"/>
          <w14:ligatures w14:val="none"/>
        </w:rPr>
        <w:t xml:space="preserve"> and</w:t>
      </w:r>
      <w:r w:rsidRPr="00075331">
        <w:rPr>
          <w:rFonts w:eastAsia="Times New Roman"/>
          <w:kern w:val="0"/>
          <w14:ligatures w14:val="none"/>
        </w:rPr>
        <w:t xml:space="preserve"> social function.</w:t>
      </w:r>
    </w:p>
    <w:p w14:paraId="2EA746FD" w14:textId="34666D69" w:rsidR="00CC61AD" w:rsidRDefault="00C55E99" w:rsidP="00EB620C">
      <w:pPr>
        <w:pStyle w:val="Heading1"/>
      </w:pPr>
      <w:bookmarkStart w:id="7" w:name="_Toc197602126"/>
      <w:r w:rsidRPr="001636EF">
        <w:lastRenderedPageBreak/>
        <w:t>Risks</w:t>
      </w:r>
      <w:r w:rsidR="00CC61AD" w:rsidRPr="001636EF">
        <w:t xml:space="preserve"> and </w:t>
      </w:r>
      <w:r w:rsidR="000B22DF">
        <w:t>complications</w:t>
      </w:r>
      <w:bookmarkEnd w:id="7"/>
    </w:p>
    <w:p w14:paraId="556E905A" w14:textId="77777777" w:rsidR="00F4779F" w:rsidRPr="000801EF" w:rsidRDefault="00F4779F" w:rsidP="00490438">
      <w:pPr>
        <w:pStyle w:val="Heading2"/>
        <w:rPr>
          <w:rFonts w:eastAsia="Times New Roman"/>
        </w:rPr>
      </w:pPr>
      <w:bookmarkStart w:id="8" w:name="_Toc197602127"/>
      <w:r w:rsidRPr="000801EF">
        <w:rPr>
          <w:rFonts w:eastAsia="Times New Roman"/>
        </w:rPr>
        <w:t>Risk of hypertrophic scarring and keloid following eyelid procedures</w:t>
      </w:r>
      <w:bookmarkEnd w:id="8"/>
    </w:p>
    <w:p w14:paraId="03084B41" w14:textId="77777777" w:rsidR="00F4779F" w:rsidRPr="00075331" w:rsidRDefault="00F4779F" w:rsidP="00490438">
      <w:r w:rsidRPr="00075331">
        <w:t>A systematic review by Anderson et al</w:t>
      </w:r>
      <w:r>
        <w:t>.</w:t>
      </w:r>
      <w:r w:rsidRPr="00075331">
        <w:t xml:space="preserve"> (2023) systematically reviewed the literature to identify cases of hypertrophic scar and keloid formation following cosmetic or functional (non</w:t>
      </w:r>
      <w:r>
        <w:t>-burn</w:t>
      </w:r>
      <w:r w:rsidRPr="00075331">
        <w:t>) eyelid procedures to aid surgeons when counselling patients.</w:t>
      </w:r>
      <w:r w:rsidRPr="00075331">
        <w:rPr>
          <w:vertAlign w:val="superscript"/>
        </w:rPr>
        <w:t>9</w:t>
      </w:r>
    </w:p>
    <w:p w14:paraId="3A66D07B" w14:textId="0EAA3D6E" w:rsidR="00F4779F" w:rsidRPr="00075331" w:rsidRDefault="00F4779F" w:rsidP="00490438">
      <w:r w:rsidRPr="00075331">
        <w:t>The authors concluded that they found no reported instances of keloid formation following cosmetic (non</w:t>
      </w:r>
      <w:r>
        <w:t>-burn</w:t>
      </w:r>
      <w:r w:rsidRPr="00075331">
        <w:t>) eyelid procedures, and hypertrophic scar formation was minimally reported.</w:t>
      </w:r>
    </w:p>
    <w:p w14:paraId="0DBF0F9D" w14:textId="77777777" w:rsidR="00F4779F" w:rsidRPr="000801EF" w:rsidRDefault="00F4779F" w:rsidP="00490438">
      <w:pPr>
        <w:pStyle w:val="Heading2"/>
        <w:rPr>
          <w:rFonts w:eastAsia="Times New Roman"/>
        </w:rPr>
      </w:pPr>
      <w:bookmarkStart w:id="9" w:name="_Toc197602128"/>
      <w:r w:rsidRPr="000801EF">
        <w:rPr>
          <w:rFonts w:eastAsia="Times New Roman"/>
        </w:rPr>
        <w:t>Infection and antibiotic prophylaxis</w:t>
      </w:r>
      <w:bookmarkEnd w:id="9"/>
    </w:p>
    <w:p w14:paraId="607FDD55" w14:textId="34034B66" w:rsidR="00F4779F" w:rsidRPr="00075331" w:rsidRDefault="00F4779F" w:rsidP="00490438">
      <w:r w:rsidRPr="00075331">
        <w:t>Ferneini et al</w:t>
      </w:r>
      <w:r>
        <w:t>.</w:t>
      </w:r>
      <w:r w:rsidRPr="00075331">
        <w:t xml:space="preserve"> (2017), in their review of the literature, note that the overall infection rate associated with eyelid surgery is extremely low.</w:t>
      </w:r>
      <w:r w:rsidRPr="00075331">
        <w:rPr>
          <w:vertAlign w:val="superscript"/>
        </w:rPr>
        <w:t>10</w:t>
      </w:r>
      <w:r>
        <w:rPr>
          <w:vertAlign w:val="superscript"/>
        </w:rPr>
        <w:t xml:space="preserve"> </w:t>
      </w:r>
      <w:r>
        <w:t>Ho</w:t>
      </w:r>
      <w:r w:rsidRPr="00075331">
        <w:t>wever, the use of antibiotic prophylaxis has increased over the past 25 years in aesthetic facial procedures. They produced an evidence-based overview of antibiotic prophylaxis in blepharoplasty that evaluated the risk of infection associated with blepharoplasty, as well as the risks and benefits of antibiotic prophylaxis.</w:t>
      </w:r>
    </w:p>
    <w:p w14:paraId="4E425C22" w14:textId="77777777" w:rsidR="00F4779F" w:rsidRPr="00075331" w:rsidRDefault="00F4779F" w:rsidP="00490438">
      <w:r w:rsidRPr="00075331">
        <w:t>The authors concluded that no direct consensus can be drawn from the current literature and unless the surgeon believes that there is a measurable risk of surgical-site infection, antibiotic prophylaxis can be withheld as the risk of routine antibiotic prophylaxis outweighs the potential benefit associated with such therapy.</w:t>
      </w:r>
    </w:p>
    <w:p w14:paraId="319EEC0A" w14:textId="65378184" w:rsidR="00F4779F" w:rsidRPr="006953EB" w:rsidRDefault="00F4779F" w:rsidP="00490438">
      <w:pPr>
        <w:pStyle w:val="Heading2"/>
        <w:rPr>
          <w:rFonts w:eastAsia="Times New Roman"/>
        </w:rPr>
      </w:pPr>
      <w:bookmarkStart w:id="10" w:name="_Toc197602129"/>
      <w:r w:rsidRPr="006953EB">
        <w:rPr>
          <w:rFonts w:eastAsia="Times New Roman"/>
        </w:rPr>
        <w:t>Complications</w:t>
      </w:r>
      <w:bookmarkEnd w:id="10"/>
    </w:p>
    <w:p w14:paraId="6BFF321D" w14:textId="73EAA990" w:rsidR="00F4779F" w:rsidRPr="00075331" w:rsidRDefault="00F4779F" w:rsidP="001A76C0">
      <w:r w:rsidRPr="00075331">
        <w:t>The Dutch Federation of Medical Specialists Guidelines Database guideline (2021) lists the following potential complications after blepharoplasty</w:t>
      </w:r>
      <w:r w:rsidR="005A79EC">
        <w:t xml:space="preserve"> or </w:t>
      </w:r>
      <w:r w:rsidRPr="00075331">
        <w:t>correction dermatochalasis:</w:t>
      </w:r>
    </w:p>
    <w:p w14:paraId="38326ECF" w14:textId="77777777" w:rsidR="00F4779F" w:rsidRPr="00075331" w:rsidRDefault="00F4779F" w:rsidP="001A76C0">
      <w:pPr>
        <w:pStyle w:val="ListParagraph"/>
      </w:pPr>
      <w:r w:rsidRPr="00075331">
        <w:t>intraorbital bleeding causing permanent vision loss</w:t>
      </w:r>
    </w:p>
    <w:p w14:paraId="01D1C0D0" w14:textId="28F56C4F" w:rsidR="00F4779F" w:rsidRPr="00075331" w:rsidRDefault="00F4779F" w:rsidP="001A76C0">
      <w:pPr>
        <w:pStyle w:val="ListParagraph"/>
      </w:pPr>
      <w:r w:rsidRPr="00075331">
        <w:t>corneal damage</w:t>
      </w:r>
      <w:r w:rsidR="00886900">
        <w:t xml:space="preserve"> or </w:t>
      </w:r>
      <w:r w:rsidRPr="00075331">
        <w:t>exposure keratitis</w:t>
      </w:r>
    </w:p>
    <w:p w14:paraId="66DE9538" w14:textId="77777777" w:rsidR="00F4779F" w:rsidRPr="00075331" w:rsidRDefault="00F4779F" w:rsidP="001A76C0">
      <w:pPr>
        <w:pStyle w:val="ListParagraph"/>
      </w:pPr>
      <w:r w:rsidRPr="00075331">
        <w:t>postoperative infections</w:t>
      </w:r>
    </w:p>
    <w:p w14:paraId="040F8541" w14:textId="77777777" w:rsidR="00F4779F" w:rsidRPr="00075331" w:rsidRDefault="00F4779F" w:rsidP="001A76C0">
      <w:pPr>
        <w:pStyle w:val="ListParagraph"/>
      </w:pPr>
      <w:r w:rsidRPr="00075331">
        <w:t>asymmetrical result</w:t>
      </w:r>
    </w:p>
    <w:p w14:paraId="6277B50D" w14:textId="77777777" w:rsidR="00F4779F" w:rsidRPr="00075331" w:rsidRDefault="00F4779F" w:rsidP="001A76C0">
      <w:pPr>
        <w:pStyle w:val="ListParagraph"/>
      </w:pPr>
      <w:r w:rsidRPr="00075331">
        <w:t>wound dehiscence</w:t>
      </w:r>
    </w:p>
    <w:p w14:paraId="25699488" w14:textId="1BB3DB4D" w:rsidR="00F4779F" w:rsidRPr="00075331" w:rsidRDefault="00F4779F" w:rsidP="001A76C0">
      <w:pPr>
        <w:pStyle w:val="ListParagraph"/>
      </w:pPr>
      <w:r w:rsidRPr="00075331">
        <w:t>scar hypertrophy</w:t>
      </w:r>
    </w:p>
    <w:p w14:paraId="5E73F2F5" w14:textId="77777777" w:rsidR="00F4779F" w:rsidRPr="00075331" w:rsidRDefault="00F4779F" w:rsidP="001A76C0">
      <w:pPr>
        <w:pStyle w:val="ListParagraph"/>
      </w:pPr>
      <w:r w:rsidRPr="00075331">
        <w:t>milia (inclusion cyst)</w:t>
      </w:r>
      <w:r>
        <w:t>.</w:t>
      </w:r>
      <w:r w:rsidRPr="00075331">
        <w:rPr>
          <w:vertAlign w:val="superscript"/>
        </w:rPr>
        <w:t>5</w:t>
      </w:r>
    </w:p>
    <w:p w14:paraId="283EA246" w14:textId="75535089" w:rsidR="00F4779F" w:rsidRPr="00075331" w:rsidRDefault="00F4779F" w:rsidP="001A76C0">
      <w:r w:rsidRPr="00075331">
        <w:t>An American Society of Plastic Surgeons guideline by Kim et al</w:t>
      </w:r>
      <w:r>
        <w:t>.</w:t>
      </w:r>
      <w:r w:rsidRPr="00075331">
        <w:t xml:space="preserve"> (2022) states that despite being a common surgery, upper eyelid surgery to correct upper visual field loss has a wide range of complications (2</w:t>
      </w:r>
      <w:r w:rsidR="00DC735D">
        <w:t xml:space="preserve"> </w:t>
      </w:r>
      <w:r>
        <w:t>%</w:t>
      </w:r>
      <w:r w:rsidRPr="00075331">
        <w:t xml:space="preserve"> to 10</w:t>
      </w:r>
      <w:r w:rsidR="00DC735D">
        <w:t> </w:t>
      </w:r>
      <w:r>
        <w:t>%</w:t>
      </w:r>
      <w:r w:rsidRPr="00075331">
        <w:t>) and revision rates are highly dependent on surgical approach (1</w:t>
      </w:r>
      <w:r w:rsidR="00DC735D">
        <w:t> </w:t>
      </w:r>
      <w:r>
        <w:t>%</w:t>
      </w:r>
      <w:r w:rsidRPr="00075331">
        <w:t xml:space="preserve"> to 72</w:t>
      </w:r>
      <w:r w:rsidR="00DC735D">
        <w:t> </w:t>
      </w:r>
      <w:r>
        <w:t>%</w:t>
      </w:r>
      <w:r w:rsidRPr="00075331">
        <w:t>).</w:t>
      </w:r>
      <w:r w:rsidRPr="00075331">
        <w:rPr>
          <w:vertAlign w:val="superscript"/>
        </w:rPr>
        <w:t>11</w:t>
      </w:r>
      <w:r>
        <w:t xml:space="preserve"> T</w:t>
      </w:r>
      <w:r w:rsidRPr="00075331">
        <w:t xml:space="preserve">hey also note that there are several variations in practice that result in a gap in care and patient satisfaction and state that even the difference in </w:t>
      </w:r>
      <w:r w:rsidRPr="00075331">
        <w:lastRenderedPageBreak/>
        <w:t>anaesthesia type used to perform the procedure has wide economic and patient safety implications that warrant investigation.</w:t>
      </w:r>
    </w:p>
    <w:p w14:paraId="1910119E" w14:textId="47D7CC34" w:rsidR="00F4779F" w:rsidRPr="000801EF" w:rsidRDefault="00F4779F" w:rsidP="001A76C0">
      <w:pPr>
        <w:pStyle w:val="Heading2"/>
        <w:rPr>
          <w:rFonts w:eastAsia="Times New Roman"/>
        </w:rPr>
      </w:pPr>
      <w:bookmarkStart w:id="11" w:name="_Toc197602130"/>
      <w:r w:rsidRPr="000801EF">
        <w:rPr>
          <w:rFonts w:eastAsia="Times New Roman"/>
        </w:rPr>
        <w:t>Perforating and penetrating globe injuries from blepharoplasty</w:t>
      </w:r>
      <w:bookmarkEnd w:id="11"/>
    </w:p>
    <w:p w14:paraId="1AFA0C12" w14:textId="6A68DC33" w:rsidR="00F4779F" w:rsidRPr="00075331" w:rsidRDefault="00F4779F" w:rsidP="001A76C0">
      <w:r w:rsidRPr="00075331">
        <w:t>A systematic review by Meyer et al</w:t>
      </w:r>
      <w:r>
        <w:t>.</w:t>
      </w:r>
      <w:r w:rsidRPr="00075331">
        <w:t xml:space="preserve"> (2024) aimed to address the infrequent but serious complication of globe injuries in blepharoplasty.</w:t>
      </w:r>
      <w:r w:rsidRPr="00075331">
        <w:rPr>
          <w:vertAlign w:val="superscript"/>
        </w:rPr>
        <w:t>12</w:t>
      </w:r>
      <w:r>
        <w:t xml:space="preserve"> T</w:t>
      </w:r>
      <w:r w:rsidRPr="00075331">
        <w:t>he findings of this study emphasise the need for increased vigilance for globe injuries that require prompt ophthalmological evaluation following blepharoplasty, especially considering the observed delay in presentation and the extent of visual morbidity. The study advocates for improved practitioner training in recognising and managing these complications and  the importance of patient education regarding the potential risks and the necessity of timely postoperative care.</w:t>
      </w:r>
    </w:p>
    <w:p w14:paraId="1498CF1F" w14:textId="49CE1543" w:rsidR="00CF0A81" w:rsidRPr="001636EF" w:rsidRDefault="00CF0A81" w:rsidP="00EB620C">
      <w:pPr>
        <w:pStyle w:val="Heading1"/>
      </w:pPr>
      <w:bookmarkStart w:id="12" w:name="_Toc197602131"/>
      <w:r w:rsidRPr="001636EF">
        <w:t>Alternatives to treatment</w:t>
      </w:r>
      <w:bookmarkEnd w:id="12"/>
    </w:p>
    <w:p w14:paraId="13B2FADE" w14:textId="77777777" w:rsidR="00B23662" w:rsidRPr="00075331" w:rsidRDefault="00B23662" w:rsidP="00B23662">
      <w:pPr>
        <w:spacing w:after="0" w:line="240" w:lineRule="auto"/>
        <w:textAlignment w:val="baseline"/>
        <w:rPr>
          <w:rFonts w:eastAsia="Times New Roman"/>
          <w:color w:val="3D3F42"/>
          <w:kern w:val="0"/>
          <w14:ligatures w14:val="none"/>
        </w:rPr>
      </w:pPr>
      <w:r w:rsidRPr="00075331">
        <w:rPr>
          <w:rFonts w:eastAsia="Times New Roman"/>
          <w:color w:val="3D3F42"/>
          <w:kern w:val="0"/>
          <w14:ligatures w14:val="none"/>
        </w:rPr>
        <w:t>No results were found for alternative treatments to surgery.</w:t>
      </w:r>
    </w:p>
    <w:p w14:paraId="2A49780D" w14:textId="77777777" w:rsidR="00666514" w:rsidRPr="001636EF" w:rsidRDefault="00666514">
      <w:r w:rsidRPr="001636EF">
        <w:br w:type="page"/>
      </w:r>
    </w:p>
    <w:p w14:paraId="09B6E15E" w14:textId="77777777" w:rsidR="00666514" w:rsidRPr="001636EF" w:rsidRDefault="00666514" w:rsidP="00EB620C">
      <w:pPr>
        <w:pStyle w:val="Heading1"/>
      </w:pPr>
      <w:bookmarkStart w:id="13" w:name="_Toc197602132"/>
      <w:r w:rsidRPr="001636EF">
        <w:lastRenderedPageBreak/>
        <w:t>References</w:t>
      </w:r>
      <w:bookmarkEnd w:id="13"/>
    </w:p>
    <w:p w14:paraId="6DCCC755" w14:textId="77777777" w:rsidR="00E0277B" w:rsidRPr="00B512F2" w:rsidRDefault="00E0277B" w:rsidP="00697119">
      <w:pPr>
        <w:pStyle w:val="ListParagraph"/>
        <w:numPr>
          <w:ilvl w:val="0"/>
          <w:numId w:val="46"/>
        </w:numPr>
        <w:spacing w:after="0"/>
        <w:ind w:left="426"/>
      </w:pPr>
      <w:r w:rsidRPr="00B512F2">
        <w:t xml:space="preserve">NHS Bristol, North Somerset and South Gloucestershire Integrated Care Board 2024. Blepharoplasty and/or Brow lift. Available from: </w:t>
      </w:r>
      <w:hyperlink r:id="rId17" w:history="1">
        <w:r w:rsidRPr="00B512F2">
          <w:rPr>
            <w:rStyle w:val="Hyperlink"/>
          </w:rPr>
          <w:t>https://bnssg.icb.nhs.uk/wp-content/uploads/2017/04/Blepharoplasty-Brow-lift.pdf</w:t>
        </w:r>
      </w:hyperlink>
    </w:p>
    <w:p w14:paraId="6407F054" w14:textId="77777777" w:rsidR="00E0277B" w:rsidRPr="00B512F2" w:rsidRDefault="00E0277B" w:rsidP="00697119">
      <w:pPr>
        <w:pStyle w:val="ListParagraph"/>
        <w:numPr>
          <w:ilvl w:val="0"/>
          <w:numId w:val="46"/>
        </w:numPr>
        <w:spacing w:after="0"/>
        <w:ind w:left="426"/>
      </w:pPr>
      <w:r w:rsidRPr="00B512F2">
        <w:t xml:space="preserve">Derby and Derbyshire Integrated Care Board 2024. Blepharoplasty policy. Available from: </w:t>
      </w:r>
      <w:hyperlink r:id="rId18" w:history="1">
        <w:r w:rsidRPr="00B512F2">
          <w:rPr>
            <w:rStyle w:val="Hyperlink"/>
          </w:rPr>
          <w:t>https://www.derbyshiremedicinesmanagement.nhs.uk/assets/Clinical-Policies/Clinical_Policies/Cosmetic/cosmetic/Blepharoplasty.pdf</w:t>
        </w:r>
      </w:hyperlink>
    </w:p>
    <w:p w14:paraId="1F9BA873" w14:textId="77777777" w:rsidR="00E0277B" w:rsidRPr="00B512F2" w:rsidRDefault="00E0277B" w:rsidP="00697119">
      <w:pPr>
        <w:pStyle w:val="ListParagraph"/>
        <w:numPr>
          <w:ilvl w:val="0"/>
          <w:numId w:val="46"/>
        </w:numPr>
        <w:spacing w:after="0"/>
        <w:ind w:left="426"/>
      </w:pPr>
      <w:r w:rsidRPr="00B512F2">
        <w:t>Cahill KV, Bradley EA, Meyer DR, Custer PL, Holck DE, Marcet MM, Mawn LA. Functional indications for upper eyelid ptosis and blepharoplasty surgery: a report by the American Academy of Ophthalmology. Ophthalmology. 2011 Dec;118(12):2510-7. DOI: </w:t>
      </w:r>
      <w:bookmarkStart w:id="14" w:name="_Hlk197240825"/>
      <w:r w:rsidRPr="00B512F2">
        <w:fldChar w:fldCharType="begin"/>
      </w:r>
      <w:r w:rsidRPr="00B512F2">
        <w:instrText>HYPERLINK "https://doi.org/10.1016/j.ophtha.2011.09.029" \t "_blank"</w:instrText>
      </w:r>
      <w:r w:rsidRPr="00B512F2">
        <w:fldChar w:fldCharType="separate"/>
      </w:r>
      <w:r w:rsidRPr="00B512F2">
        <w:rPr>
          <w:rStyle w:val="Hyperlink"/>
        </w:rPr>
        <w:t>10.1016/j.ophtha.2011.09.029</w:t>
      </w:r>
      <w:r w:rsidRPr="00B512F2">
        <w:fldChar w:fldCharType="end"/>
      </w:r>
      <w:bookmarkEnd w:id="14"/>
    </w:p>
    <w:p w14:paraId="319A06C4" w14:textId="39DB7791" w:rsidR="00E0277B" w:rsidRPr="00B512F2" w:rsidRDefault="00E0277B" w:rsidP="00697119">
      <w:pPr>
        <w:pStyle w:val="ListParagraph"/>
        <w:numPr>
          <w:ilvl w:val="0"/>
          <w:numId w:val="46"/>
        </w:numPr>
        <w:spacing w:after="0"/>
        <w:ind w:left="426"/>
      </w:pPr>
      <w:r w:rsidRPr="00B512F2">
        <w:t xml:space="preserve">Mass Health 2023. Guidelines for medical necessity determination for blepharoplasty, upper eyelid ptosis, and brow ptosis surgery. Available from: </w:t>
      </w:r>
      <w:hyperlink r:id="rId19" w:history="1">
        <w:r w:rsidRPr="00B512F2">
          <w:rPr>
            <w:rStyle w:val="Hyperlink"/>
          </w:rPr>
          <w:t>https://www.mass.gov/doc/guidelines-for-medical-necessity-determination-for-blepharoplasty-upper-eyelid-ptosis-and-brow-ptosis-surgery/download</w:t>
        </w:r>
      </w:hyperlink>
    </w:p>
    <w:p w14:paraId="7D024F83" w14:textId="7D7068DC" w:rsidR="00E0277B" w:rsidRPr="00B512F2" w:rsidRDefault="00E0277B" w:rsidP="00697119">
      <w:pPr>
        <w:pStyle w:val="ListParagraph"/>
        <w:numPr>
          <w:ilvl w:val="0"/>
          <w:numId w:val="46"/>
        </w:numPr>
        <w:spacing w:after="0"/>
        <w:ind w:left="426"/>
        <w:rPr>
          <w:rFonts w:eastAsia="Times New Roman"/>
          <w:kern w:val="0"/>
          <w14:ligatures w14:val="none"/>
        </w:rPr>
      </w:pPr>
      <w:r w:rsidRPr="00B512F2">
        <w:rPr>
          <w:rFonts w:eastAsia="Times New Roman"/>
          <w:kern w:val="0"/>
          <w14:ligatures w14:val="none"/>
        </w:rPr>
        <w:t xml:space="preserve">Dutch Federation of Medical Specialists Guidelines Database 2021. Guideline on surgical correction blepharo-/dermatochalasis, blepharoptosis and eyebrow ptosis. Available from </w:t>
      </w:r>
      <w:hyperlink r:id="rId20" w:history="1">
        <w:r w:rsidRPr="00B512F2">
          <w:rPr>
            <w:rStyle w:val="Hyperlink"/>
            <w:rFonts w:eastAsia="Times New Roman"/>
            <w:kern w:val="0"/>
            <w14:ligatures w14:val="none"/>
          </w:rPr>
          <w:t>https://richtlijnendatabase.nl</w:t>
        </w:r>
      </w:hyperlink>
      <w:r w:rsidRPr="00B512F2">
        <w:rPr>
          <w:rStyle w:val="Hyperlink"/>
          <w:rFonts w:eastAsia="Times New Roman"/>
          <w:kern w:val="0"/>
          <w14:ligatures w14:val="none"/>
        </w:rPr>
        <w:t xml:space="preserve"> (in Dutch but should be offered option to view in English on opening.)</w:t>
      </w:r>
    </w:p>
    <w:p w14:paraId="5CB14B46" w14:textId="77777777" w:rsidR="00E0277B" w:rsidRPr="00B512F2" w:rsidRDefault="00E0277B" w:rsidP="00697119">
      <w:pPr>
        <w:pStyle w:val="ListParagraph"/>
        <w:numPr>
          <w:ilvl w:val="0"/>
          <w:numId w:val="46"/>
        </w:numPr>
        <w:spacing w:after="0"/>
        <w:ind w:left="426"/>
        <w:rPr>
          <w:rStyle w:val="Hyperlink"/>
        </w:rPr>
      </w:pPr>
      <w:r w:rsidRPr="00B512F2">
        <w:rPr>
          <w:lang w:val="fr-FR"/>
        </w:rPr>
        <w:t xml:space="preserve">Hollander MHJ, Contini M, Pott JW, et al. </w:t>
      </w:r>
      <w:r w:rsidRPr="00B512F2">
        <w:t>Functional outcomes of upper eyelid blepharoplasty: A systematic review. J Plast Reconstr Aesthet Surg. 2019;72(2). DOI:</w:t>
      </w:r>
      <w:r w:rsidRPr="00B512F2">
        <w:rPr>
          <w:rFonts w:eastAsia="Times New Roman"/>
          <w:color w:val="212121"/>
          <w:kern w:val="0"/>
          <w14:ligatures w14:val="none"/>
        </w:rPr>
        <w:t xml:space="preserve"> </w:t>
      </w:r>
      <w:hyperlink r:id="rId21" w:tgtFrame="_blank" w:history="1">
        <w:r w:rsidRPr="00B512F2">
          <w:rPr>
            <w:rStyle w:val="Hyperlink"/>
          </w:rPr>
          <w:t>10.1016/j.bjps.2018.11.010</w:t>
        </w:r>
      </w:hyperlink>
    </w:p>
    <w:p w14:paraId="18A1B1D8" w14:textId="77777777" w:rsidR="00E0277B" w:rsidRPr="00B512F2" w:rsidRDefault="00E0277B" w:rsidP="00697119">
      <w:pPr>
        <w:pStyle w:val="ListParagraph"/>
        <w:numPr>
          <w:ilvl w:val="0"/>
          <w:numId w:val="46"/>
        </w:numPr>
        <w:spacing w:after="0"/>
        <w:ind w:left="426"/>
        <w:rPr>
          <w:rStyle w:val="Hyperlink"/>
          <w:color w:val="auto"/>
          <w:u w:val="none"/>
        </w:rPr>
      </w:pPr>
      <w:r w:rsidRPr="00B512F2">
        <w:rPr>
          <w:rStyle w:val="Hyperlink"/>
          <w:color w:val="auto"/>
          <w:u w:val="none"/>
        </w:rPr>
        <w:t xml:space="preserve">Vasović DD, Karamarković ML, Jovanović M, Stojičić M, Rašić DM, Marjanović I, Kalezić T, Jeremić M. Comprehensive Evaluation of Quality of Life following Upper Eyelid Blepharoplasty: A Prospective Analysis. Medicina (Kaunas). 2024 Mar 19;60(3):500. </w:t>
      </w:r>
      <w:r w:rsidRPr="00B512F2">
        <w:t>DOI: </w:t>
      </w:r>
      <w:hyperlink r:id="rId22" w:tgtFrame="_blank" w:history="1">
        <w:r w:rsidRPr="00B512F2">
          <w:rPr>
            <w:rStyle w:val="Hyperlink"/>
          </w:rPr>
          <w:t>10.3390/medicina60030500</w:t>
        </w:r>
      </w:hyperlink>
    </w:p>
    <w:p w14:paraId="0E307726" w14:textId="77777777" w:rsidR="00E0277B" w:rsidRPr="00B512F2" w:rsidRDefault="00E0277B" w:rsidP="00697119">
      <w:pPr>
        <w:pStyle w:val="ListParagraph"/>
        <w:numPr>
          <w:ilvl w:val="0"/>
          <w:numId w:val="46"/>
        </w:numPr>
        <w:spacing w:after="0"/>
        <w:ind w:left="426"/>
        <w:rPr>
          <w:rStyle w:val="Hyperlink"/>
        </w:rPr>
      </w:pPr>
      <w:r w:rsidRPr="00B512F2">
        <w:rPr>
          <w:rFonts w:eastAsia="Times New Roman"/>
          <w:kern w:val="0"/>
          <w14:ligatures w14:val="none"/>
        </w:rPr>
        <w:t>Hollander MHJ, van der Hoeven JH, Verdonschot KHM, Delli K, Vissink A, Jansma J, Schepers RH. Effects of Upper Blepharoplasty Techniques on Headaches, Eyebrow Position, and Electromyographic Outcomes: A Randomized Controlled Trial. Int J Environ Res Public Health. 2023 Jan 14;20(2):1559. DOI: </w:t>
      </w:r>
      <w:hyperlink r:id="rId23" w:tgtFrame="_blank" w:history="1">
        <w:r w:rsidRPr="00B512F2">
          <w:rPr>
            <w:rStyle w:val="Hyperlink"/>
            <w:rFonts w:eastAsia="Times New Roman"/>
            <w:kern w:val="0"/>
            <w14:ligatures w14:val="none"/>
          </w:rPr>
          <w:t>10.3390/ijerph20021559</w:t>
        </w:r>
      </w:hyperlink>
    </w:p>
    <w:p w14:paraId="7457B1D0" w14:textId="77777777" w:rsidR="00E0277B" w:rsidRPr="00B512F2" w:rsidRDefault="00E0277B" w:rsidP="00697119">
      <w:pPr>
        <w:pStyle w:val="ListParagraph"/>
        <w:numPr>
          <w:ilvl w:val="0"/>
          <w:numId w:val="46"/>
        </w:numPr>
        <w:spacing w:after="0"/>
        <w:ind w:left="426"/>
      </w:pPr>
      <w:r w:rsidRPr="00B512F2">
        <w:rPr>
          <w:lang w:val="fr-FR"/>
        </w:rPr>
        <w:t xml:space="preserve">Anderson L., Vankawala J., Gupta N., et al. </w:t>
      </w:r>
      <w:r w:rsidRPr="00B512F2">
        <w:t xml:space="preserve">Evaluation of the Risk of Hypertrophic Scarring and Keloid Following Eyelid Procedures: A Systematic Review. Aesthet Surg J. 2023;43(8). DOI: </w:t>
      </w:r>
      <w:hyperlink r:id="rId24" w:tgtFrame="_blank" w:history="1">
        <w:r w:rsidRPr="00B512F2">
          <w:rPr>
            <w:rStyle w:val="Hyperlink"/>
          </w:rPr>
          <w:t>10.1093/asj/sjad034</w:t>
        </w:r>
      </w:hyperlink>
    </w:p>
    <w:p w14:paraId="634D5D90" w14:textId="77777777" w:rsidR="00E0277B" w:rsidRPr="00B512F2" w:rsidRDefault="00E0277B" w:rsidP="00697119">
      <w:pPr>
        <w:pStyle w:val="ListParagraph"/>
        <w:numPr>
          <w:ilvl w:val="0"/>
          <w:numId w:val="46"/>
        </w:numPr>
        <w:spacing w:after="0"/>
        <w:ind w:left="426"/>
        <w:rPr>
          <w:rStyle w:val="Hyperlink"/>
          <w:color w:val="auto"/>
          <w:u w:val="none"/>
        </w:rPr>
      </w:pPr>
      <w:r w:rsidRPr="00B512F2">
        <w:t xml:space="preserve">Ferneini EM, Halepas S and Aronin SI. Antibiotic Prophylaxis in Blepharoplasty: Review of the Current Literature. J Oral Maxillofac Surg. 2017;75(7). DOI: </w:t>
      </w:r>
      <w:hyperlink r:id="rId25" w:tgtFrame="_blank" w:history="1">
        <w:r w:rsidRPr="00B512F2">
          <w:rPr>
            <w:rStyle w:val="Hyperlink"/>
          </w:rPr>
          <w:t>10.1016/j.joms.2017.01.025</w:t>
        </w:r>
      </w:hyperlink>
    </w:p>
    <w:p w14:paraId="2A0B57D2" w14:textId="56CB0180" w:rsidR="00E0277B" w:rsidRPr="00B512F2" w:rsidRDefault="00E0277B" w:rsidP="00697119">
      <w:pPr>
        <w:pStyle w:val="ListParagraph"/>
        <w:numPr>
          <w:ilvl w:val="0"/>
          <w:numId w:val="46"/>
        </w:numPr>
        <w:spacing w:after="0"/>
        <w:ind w:left="426"/>
        <w:rPr>
          <w:color w:val="0563C1" w:themeColor="hyperlink"/>
          <w:u w:val="single"/>
        </w:rPr>
      </w:pPr>
      <w:r w:rsidRPr="00B512F2">
        <w:rPr>
          <w:lang w:val="fr-FR"/>
        </w:rPr>
        <w:t xml:space="preserve">Kim KK, Granick MS, Baum GA, et al. </w:t>
      </w:r>
      <w:r w:rsidRPr="00B512F2">
        <w:t xml:space="preserve">American Society of Plastic Surgeons Evidence-Based Clinical Practice Guideline: Eyelid Surgery for Upper Visual Field Improvement. Plast Reconstr Surg. 2022;150(2). DOI: </w:t>
      </w:r>
      <w:hyperlink r:id="rId26" w:tgtFrame="_blank" w:history="1">
        <w:r w:rsidRPr="00B512F2">
          <w:rPr>
            <w:rStyle w:val="Hyperlink"/>
          </w:rPr>
          <w:t>10.1097/PRS.0000000000009329</w:t>
        </w:r>
      </w:hyperlink>
    </w:p>
    <w:p w14:paraId="1034EC75" w14:textId="77777777" w:rsidR="00E0277B" w:rsidRPr="00B512F2" w:rsidRDefault="00E0277B" w:rsidP="00697119">
      <w:pPr>
        <w:pStyle w:val="ListParagraph"/>
        <w:numPr>
          <w:ilvl w:val="0"/>
          <w:numId w:val="46"/>
        </w:numPr>
        <w:spacing w:after="0"/>
        <w:ind w:left="426"/>
        <w:rPr>
          <w:rStyle w:val="Hyperlink"/>
        </w:rPr>
      </w:pPr>
      <w:r w:rsidRPr="00B512F2">
        <w:rPr>
          <w:lang w:val="fr-FR"/>
        </w:rPr>
        <w:t xml:space="preserve">Meyer BI, Shoji MK, Zamani KA, et al. </w:t>
      </w:r>
      <w:r w:rsidRPr="00B512F2">
        <w:t xml:space="preserve">Beyond the Surface: A Systematic Review of Perforating and Penetrating Globe Injuries From Blepharoplasty. Ophthal Plast Reconstr Surg. 2024;40(4). DOI: </w:t>
      </w:r>
      <w:hyperlink r:id="rId27" w:tgtFrame="_blank" w:history="1">
        <w:r w:rsidRPr="00B512F2">
          <w:rPr>
            <w:rStyle w:val="Hyperlink"/>
          </w:rPr>
          <w:t>10.1097/IOP.0000000000002625</w:t>
        </w:r>
      </w:hyperlink>
    </w:p>
    <w:p w14:paraId="2180E090" w14:textId="77777777" w:rsidR="00A0044F" w:rsidRPr="001636EF" w:rsidRDefault="00A0044F" w:rsidP="00666514"/>
    <w:p w14:paraId="0C2F7526" w14:textId="77777777" w:rsidR="00267304" w:rsidRPr="001636EF" w:rsidRDefault="00A0044F" w:rsidP="00EB620C">
      <w:pPr>
        <w:pStyle w:val="Heading1"/>
      </w:pPr>
      <w:bookmarkStart w:id="15" w:name="_Toc197602133"/>
      <w:r w:rsidRPr="001636EF">
        <w:lastRenderedPageBreak/>
        <w:t>Appendi</w:t>
      </w:r>
      <w:r w:rsidR="00267304" w:rsidRPr="001636EF">
        <w:t>ces</w:t>
      </w:r>
      <w:bookmarkEnd w:id="15"/>
    </w:p>
    <w:p w14:paraId="6406952F" w14:textId="5C73B3D6" w:rsidR="003D7F19" w:rsidRPr="001636EF" w:rsidRDefault="00267304" w:rsidP="00275424">
      <w:pPr>
        <w:pStyle w:val="Heading2"/>
        <w:numPr>
          <w:ilvl w:val="0"/>
          <w:numId w:val="0"/>
        </w:numPr>
      </w:pPr>
      <w:bookmarkStart w:id="16" w:name="_Toc197602134"/>
      <w:r w:rsidRPr="001636EF">
        <w:t>Appendix</w:t>
      </w:r>
      <w:r w:rsidR="00A0044F" w:rsidRPr="001636EF">
        <w:t xml:space="preserve"> </w:t>
      </w:r>
      <w:r w:rsidR="003D7F19" w:rsidRPr="001636EF">
        <w:t xml:space="preserve">1 – </w:t>
      </w:r>
      <w:r w:rsidR="005F636F" w:rsidRPr="001636EF">
        <w:t xml:space="preserve">Searching and </w:t>
      </w:r>
      <w:r w:rsidR="005F636F" w:rsidRPr="00C154B3">
        <w:t>screening</w:t>
      </w:r>
      <w:r w:rsidR="005F636F" w:rsidRPr="001636EF">
        <w:t xml:space="preserve"> m</w:t>
      </w:r>
      <w:r w:rsidR="003D7F19" w:rsidRPr="001636EF">
        <w:t>ethod</w:t>
      </w:r>
      <w:bookmarkEnd w:id="16"/>
    </w:p>
    <w:p w14:paraId="6C32E104" w14:textId="53D47BE6"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3E4C04DD" w:rsidR="00A0044F" w:rsidRPr="0074183C" w:rsidRDefault="00CB7C02" w:rsidP="00275424">
      <w:pPr>
        <w:pStyle w:val="Heading2"/>
        <w:numPr>
          <w:ilvl w:val="0"/>
          <w:numId w:val="0"/>
        </w:numPr>
        <w:ind w:left="576" w:hanging="576"/>
      </w:pPr>
      <w:bookmarkStart w:id="17" w:name="_Toc197602135"/>
      <w:r w:rsidRPr="0074183C">
        <w:t>Appendix 2</w:t>
      </w:r>
      <w:r w:rsidR="00AF6422" w:rsidRPr="0074183C">
        <w:t xml:space="preserve"> – </w:t>
      </w:r>
      <w:r w:rsidR="00A0044F" w:rsidRPr="0074183C">
        <w:t>Search strategy</w:t>
      </w:r>
      <w:bookmarkEnd w:id="17"/>
    </w:p>
    <w:p w14:paraId="6400C7DA" w14:textId="05636084" w:rsidR="0074183C" w:rsidRPr="00075331" w:rsidRDefault="0074183C" w:rsidP="0074183C">
      <w:pPr>
        <w:rPr>
          <w:lang w:val="en-US"/>
        </w:rPr>
      </w:pPr>
      <w:r w:rsidRPr="0074183C">
        <w:rPr>
          <w:b/>
          <w:lang w:val="en-US"/>
        </w:rPr>
        <w:t xml:space="preserve">Database: Ovid MEDLINE(R) ALL &lt;01012015 to 15012025&gt; </w:t>
      </w:r>
      <w:r w:rsidRPr="0074183C">
        <w:rPr>
          <w:lang w:val="en-US"/>
        </w:rPr>
        <w:br/>
      </w:r>
      <w:r w:rsidRPr="0074183C">
        <w:rPr>
          <w:b/>
          <w:lang w:val="en-US"/>
        </w:rPr>
        <w:t>Search Strategy:</w:t>
      </w:r>
    </w:p>
    <w:p w14:paraId="0CFFE145" w14:textId="77777777" w:rsidR="0074183C" w:rsidRPr="00075331" w:rsidRDefault="0074183C" w:rsidP="0074183C">
      <w:pPr>
        <w:spacing w:after="0"/>
      </w:pPr>
    </w:p>
    <w:tbl>
      <w:tblPr>
        <w:tblW w:w="5030" w:type="pct"/>
        <w:tblLook w:val="04A0" w:firstRow="1" w:lastRow="0" w:firstColumn="1" w:lastColumn="0" w:noHBand="0" w:noVBand="1"/>
      </w:tblPr>
      <w:tblGrid>
        <w:gridCol w:w="419"/>
        <w:gridCol w:w="5252"/>
        <w:gridCol w:w="3409"/>
      </w:tblGrid>
      <w:tr w:rsidR="0074183C" w:rsidRPr="00AB09E5" w14:paraId="7C0243E9" w14:textId="77777777" w:rsidTr="0074183C">
        <w:tc>
          <w:tcPr>
            <w:tcW w:w="231" w:type="pct"/>
            <w:tcMar>
              <w:top w:w="15" w:type="dxa"/>
              <w:left w:w="15" w:type="dxa"/>
              <w:bottom w:w="15" w:type="dxa"/>
              <w:right w:w="15" w:type="dxa"/>
            </w:tcMar>
            <w:vAlign w:val="center"/>
            <w:hideMark/>
          </w:tcPr>
          <w:p w14:paraId="4F71DD32" w14:textId="77777777" w:rsidR="0074183C" w:rsidRPr="00075331" w:rsidRDefault="0074183C" w:rsidP="0074183C">
            <w:pPr>
              <w:spacing w:after="0" w:line="240" w:lineRule="auto"/>
              <w:rPr>
                <w:b/>
                <w:bCs/>
              </w:rPr>
            </w:pPr>
            <w:r w:rsidRPr="00075331">
              <w:rPr>
                <w:b/>
                <w:bCs/>
              </w:rPr>
              <w:t>#</w:t>
            </w:r>
          </w:p>
        </w:tc>
        <w:tc>
          <w:tcPr>
            <w:tcW w:w="2892" w:type="pct"/>
            <w:tcMar>
              <w:top w:w="15" w:type="dxa"/>
              <w:left w:w="15" w:type="dxa"/>
              <w:bottom w:w="15" w:type="dxa"/>
              <w:right w:w="15" w:type="dxa"/>
            </w:tcMar>
            <w:vAlign w:val="center"/>
            <w:hideMark/>
          </w:tcPr>
          <w:p w14:paraId="5E3FABCB" w14:textId="77777777" w:rsidR="0074183C" w:rsidRPr="00075331" w:rsidRDefault="0074183C" w:rsidP="0074183C">
            <w:pPr>
              <w:spacing w:after="0" w:line="240" w:lineRule="auto"/>
              <w:ind w:right="-2456"/>
              <w:rPr>
                <w:b/>
                <w:bCs/>
              </w:rPr>
            </w:pPr>
            <w:r w:rsidRPr="00075331">
              <w:rPr>
                <w:b/>
                <w:bCs/>
              </w:rPr>
              <w:t>Query</w:t>
            </w:r>
          </w:p>
        </w:tc>
        <w:tc>
          <w:tcPr>
            <w:tcW w:w="1878" w:type="pct"/>
            <w:tcMar>
              <w:top w:w="15" w:type="dxa"/>
              <w:left w:w="15" w:type="dxa"/>
              <w:bottom w:w="15" w:type="dxa"/>
              <w:right w:w="15" w:type="dxa"/>
            </w:tcMar>
            <w:vAlign w:val="center"/>
            <w:hideMark/>
          </w:tcPr>
          <w:p w14:paraId="4BAE6269" w14:textId="6D242793" w:rsidR="0074183C" w:rsidRPr="00075331" w:rsidRDefault="0074183C" w:rsidP="0074183C">
            <w:pPr>
              <w:spacing w:after="0" w:line="240" w:lineRule="auto"/>
              <w:rPr>
                <w:b/>
                <w:bCs/>
              </w:rPr>
            </w:pPr>
            <w:r w:rsidRPr="00075331">
              <w:rPr>
                <w:b/>
                <w:bCs/>
              </w:rPr>
              <w:t>Results from 15 Jan</w:t>
            </w:r>
            <w:r w:rsidR="005B30C0">
              <w:rPr>
                <w:b/>
                <w:bCs/>
              </w:rPr>
              <w:t>uary</w:t>
            </w:r>
            <w:r w:rsidRPr="00075331">
              <w:rPr>
                <w:b/>
                <w:bCs/>
              </w:rPr>
              <w:t xml:space="preserve"> 2025</w:t>
            </w:r>
          </w:p>
        </w:tc>
      </w:tr>
      <w:tr w:rsidR="0074183C" w:rsidRPr="00AB09E5" w14:paraId="400E8775" w14:textId="77777777" w:rsidTr="0074183C">
        <w:tc>
          <w:tcPr>
            <w:tcW w:w="231" w:type="pct"/>
            <w:tcMar>
              <w:top w:w="15" w:type="dxa"/>
              <w:left w:w="15" w:type="dxa"/>
              <w:bottom w:w="15" w:type="dxa"/>
              <w:right w:w="15" w:type="dxa"/>
            </w:tcMar>
            <w:vAlign w:val="center"/>
            <w:hideMark/>
          </w:tcPr>
          <w:p w14:paraId="7DF445D1" w14:textId="77777777" w:rsidR="0074183C" w:rsidRPr="00075331" w:rsidRDefault="0074183C" w:rsidP="0074183C">
            <w:pPr>
              <w:spacing w:after="0" w:line="240" w:lineRule="auto"/>
            </w:pPr>
            <w:r w:rsidRPr="00075331">
              <w:t>1</w:t>
            </w:r>
          </w:p>
        </w:tc>
        <w:tc>
          <w:tcPr>
            <w:tcW w:w="2892" w:type="pct"/>
            <w:tcMar>
              <w:top w:w="15" w:type="dxa"/>
              <w:left w:w="15" w:type="dxa"/>
              <w:bottom w:w="15" w:type="dxa"/>
              <w:right w:w="15" w:type="dxa"/>
            </w:tcMar>
            <w:vAlign w:val="center"/>
            <w:hideMark/>
          </w:tcPr>
          <w:p w14:paraId="1F274CA7" w14:textId="77777777" w:rsidR="0074183C" w:rsidRPr="00075331" w:rsidRDefault="0074183C" w:rsidP="0074183C">
            <w:pPr>
              <w:spacing w:after="0" w:line="240" w:lineRule="auto"/>
            </w:pPr>
            <w:r w:rsidRPr="00075331">
              <w:t>exp Blepharoplasty/</w:t>
            </w:r>
          </w:p>
        </w:tc>
        <w:tc>
          <w:tcPr>
            <w:tcW w:w="1878" w:type="pct"/>
            <w:tcMar>
              <w:top w:w="15" w:type="dxa"/>
              <w:left w:w="15" w:type="dxa"/>
              <w:bottom w:w="15" w:type="dxa"/>
              <w:right w:w="15" w:type="dxa"/>
            </w:tcMar>
            <w:vAlign w:val="center"/>
            <w:hideMark/>
          </w:tcPr>
          <w:p w14:paraId="41B46188" w14:textId="77777777" w:rsidR="0074183C" w:rsidRPr="00075331" w:rsidRDefault="0074183C" w:rsidP="0074183C">
            <w:pPr>
              <w:spacing w:after="0" w:line="240" w:lineRule="auto"/>
            </w:pPr>
            <w:r w:rsidRPr="00075331">
              <w:t>3,687</w:t>
            </w:r>
          </w:p>
        </w:tc>
      </w:tr>
      <w:tr w:rsidR="0074183C" w:rsidRPr="00AB09E5" w14:paraId="0F709B0A" w14:textId="77777777" w:rsidTr="0074183C">
        <w:tc>
          <w:tcPr>
            <w:tcW w:w="231" w:type="pct"/>
            <w:tcMar>
              <w:top w:w="15" w:type="dxa"/>
              <w:left w:w="15" w:type="dxa"/>
              <w:bottom w:w="15" w:type="dxa"/>
              <w:right w:w="15" w:type="dxa"/>
            </w:tcMar>
            <w:vAlign w:val="center"/>
            <w:hideMark/>
          </w:tcPr>
          <w:p w14:paraId="086F604F" w14:textId="77777777" w:rsidR="0074183C" w:rsidRPr="00075331" w:rsidRDefault="0074183C" w:rsidP="0074183C">
            <w:pPr>
              <w:spacing w:after="0" w:line="240" w:lineRule="auto"/>
            </w:pPr>
            <w:r w:rsidRPr="00075331">
              <w:t>2</w:t>
            </w:r>
          </w:p>
        </w:tc>
        <w:tc>
          <w:tcPr>
            <w:tcW w:w="2892" w:type="pct"/>
            <w:tcMar>
              <w:top w:w="15" w:type="dxa"/>
              <w:left w:w="15" w:type="dxa"/>
              <w:bottom w:w="15" w:type="dxa"/>
              <w:right w:w="15" w:type="dxa"/>
            </w:tcMar>
            <w:vAlign w:val="center"/>
            <w:hideMark/>
          </w:tcPr>
          <w:p w14:paraId="33CE7125" w14:textId="77777777" w:rsidR="0074183C" w:rsidRPr="00075331" w:rsidRDefault="0074183C" w:rsidP="0074183C">
            <w:pPr>
              <w:spacing w:after="0" w:line="240" w:lineRule="auto"/>
            </w:pPr>
            <w:r w:rsidRPr="00075331">
              <w:t>*Eyelids/su [Surgery]</w:t>
            </w:r>
          </w:p>
        </w:tc>
        <w:tc>
          <w:tcPr>
            <w:tcW w:w="1878" w:type="pct"/>
            <w:tcMar>
              <w:top w:w="15" w:type="dxa"/>
              <w:left w:w="15" w:type="dxa"/>
              <w:bottom w:w="15" w:type="dxa"/>
              <w:right w:w="15" w:type="dxa"/>
            </w:tcMar>
            <w:vAlign w:val="center"/>
            <w:hideMark/>
          </w:tcPr>
          <w:p w14:paraId="11D765FF" w14:textId="77777777" w:rsidR="0074183C" w:rsidRPr="00075331" w:rsidRDefault="0074183C" w:rsidP="0074183C">
            <w:pPr>
              <w:spacing w:after="0" w:line="240" w:lineRule="auto"/>
            </w:pPr>
            <w:r w:rsidRPr="00075331">
              <w:t>3,512</w:t>
            </w:r>
          </w:p>
        </w:tc>
      </w:tr>
      <w:tr w:rsidR="0074183C" w:rsidRPr="00AB09E5" w14:paraId="2D2AC515" w14:textId="77777777" w:rsidTr="0074183C">
        <w:tc>
          <w:tcPr>
            <w:tcW w:w="231" w:type="pct"/>
            <w:tcMar>
              <w:top w:w="15" w:type="dxa"/>
              <w:left w:w="15" w:type="dxa"/>
              <w:bottom w:w="15" w:type="dxa"/>
              <w:right w:w="15" w:type="dxa"/>
            </w:tcMar>
            <w:vAlign w:val="center"/>
            <w:hideMark/>
          </w:tcPr>
          <w:p w14:paraId="6DF89955" w14:textId="77777777" w:rsidR="0074183C" w:rsidRPr="00075331" w:rsidRDefault="0074183C" w:rsidP="0074183C">
            <w:pPr>
              <w:spacing w:after="0" w:line="240" w:lineRule="auto"/>
            </w:pPr>
            <w:r w:rsidRPr="00075331">
              <w:t>3</w:t>
            </w:r>
          </w:p>
        </w:tc>
        <w:tc>
          <w:tcPr>
            <w:tcW w:w="2892" w:type="pct"/>
            <w:tcMar>
              <w:top w:w="15" w:type="dxa"/>
              <w:left w:w="15" w:type="dxa"/>
              <w:bottom w:w="15" w:type="dxa"/>
              <w:right w:w="15" w:type="dxa"/>
            </w:tcMar>
            <w:vAlign w:val="center"/>
            <w:hideMark/>
          </w:tcPr>
          <w:p w14:paraId="751F55C0" w14:textId="77777777" w:rsidR="0074183C" w:rsidRPr="00075331" w:rsidRDefault="0074183C" w:rsidP="0074183C">
            <w:pPr>
              <w:spacing w:after="0" w:line="240" w:lineRule="auto"/>
            </w:pPr>
            <w:r w:rsidRPr="00075331">
              <w:t>blepharopl*.tw.</w:t>
            </w:r>
          </w:p>
        </w:tc>
        <w:tc>
          <w:tcPr>
            <w:tcW w:w="1878" w:type="pct"/>
            <w:tcMar>
              <w:top w:w="15" w:type="dxa"/>
              <w:left w:w="15" w:type="dxa"/>
              <w:bottom w:w="15" w:type="dxa"/>
              <w:right w:w="15" w:type="dxa"/>
            </w:tcMar>
            <w:vAlign w:val="center"/>
            <w:hideMark/>
          </w:tcPr>
          <w:p w14:paraId="4E299AF7" w14:textId="77777777" w:rsidR="0074183C" w:rsidRPr="00075331" w:rsidRDefault="0074183C" w:rsidP="0074183C">
            <w:pPr>
              <w:spacing w:after="0" w:line="240" w:lineRule="auto"/>
            </w:pPr>
            <w:r w:rsidRPr="00075331">
              <w:t>2,919</w:t>
            </w:r>
          </w:p>
        </w:tc>
      </w:tr>
      <w:tr w:rsidR="0074183C" w:rsidRPr="00AB09E5" w14:paraId="0515BB3D" w14:textId="77777777" w:rsidTr="0074183C">
        <w:tc>
          <w:tcPr>
            <w:tcW w:w="231" w:type="pct"/>
            <w:tcMar>
              <w:top w:w="15" w:type="dxa"/>
              <w:left w:w="15" w:type="dxa"/>
              <w:bottom w:w="15" w:type="dxa"/>
              <w:right w:w="15" w:type="dxa"/>
            </w:tcMar>
            <w:vAlign w:val="center"/>
            <w:hideMark/>
          </w:tcPr>
          <w:p w14:paraId="5CD777D1" w14:textId="77777777" w:rsidR="0074183C" w:rsidRPr="00075331" w:rsidRDefault="0074183C" w:rsidP="0074183C">
            <w:pPr>
              <w:spacing w:after="0" w:line="240" w:lineRule="auto"/>
            </w:pPr>
            <w:r w:rsidRPr="00075331">
              <w:t>4</w:t>
            </w:r>
          </w:p>
        </w:tc>
        <w:tc>
          <w:tcPr>
            <w:tcW w:w="2892" w:type="pct"/>
            <w:tcMar>
              <w:top w:w="15" w:type="dxa"/>
              <w:left w:w="15" w:type="dxa"/>
              <w:bottom w:w="15" w:type="dxa"/>
              <w:right w:w="15" w:type="dxa"/>
            </w:tcMar>
            <w:vAlign w:val="center"/>
            <w:hideMark/>
          </w:tcPr>
          <w:p w14:paraId="511C67D0" w14:textId="77777777" w:rsidR="0074183C" w:rsidRPr="00075331" w:rsidRDefault="0074183C" w:rsidP="0074183C">
            <w:pPr>
              <w:spacing w:after="0" w:line="240" w:lineRule="auto"/>
            </w:pPr>
            <w:r w:rsidRPr="00075331">
              <w:t>*Blepharoptosis/su [Surgery]</w:t>
            </w:r>
          </w:p>
        </w:tc>
        <w:tc>
          <w:tcPr>
            <w:tcW w:w="1878" w:type="pct"/>
            <w:tcMar>
              <w:top w:w="15" w:type="dxa"/>
              <w:left w:w="15" w:type="dxa"/>
              <w:bottom w:w="15" w:type="dxa"/>
              <w:right w:w="15" w:type="dxa"/>
            </w:tcMar>
            <w:vAlign w:val="center"/>
            <w:hideMark/>
          </w:tcPr>
          <w:p w14:paraId="49C77D10" w14:textId="77777777" w:rsidR="0074183C" w:rsidRPr="00075331" w:rsidRDefault="0074183C" w:rsidP="0074183C">
            <w:pPr>
              <w:spacing w:after="0" w:line="240" w:lineRule="auto"/>
            </w:pPr>
            <w:r w:rsidRPr="00075331">
              <w:t>1,471</w:t>
            </w:r>
          </w:p>
        </w:tc>
      </w:tr>
      <w:tr w:rsidR="0074183C" w:rsidRPr="00AB09E5" w14:paraId="7A0ED38C" w14:textId="77777777" w:rsidTr="0074183C">
        <w:tc>
          <w:tcPr>
            <w:tcW w:w="231" w:type="pct"/>
            <w:tcMar>
              <w:top w:w="15" w:type="dxa"/>
              <w:left w:w="15" w:type="dxa"/>
              <w:bottom w:w="15" w:type="dxa"/>
              <w:right w:w="15" w:type="dxa"/>
            </w:tcMar>
            <w:vAlign w:val="center"/>
            <w:hideMark/>
          </w:tcPr>
          <w:p w14:paraId="2DBCC045" w14:textId="77777777" w:rsidR="0074183C" w:rsidRPr="00075331" w:rsidRDefault="0074183C" w:rsidP="0074183C">
            <w:pPr>
              <w:spacing w:after="0" w:line="240" w:lineRule="auto"/>
            </w:pPr>
            <w:r w:rsidRPr="00075331">
              <w:t>5</w:t>
            </w:r>
          </w:p>
        </w:tc>
        <w:tc>
          <w:tcPr>
            <w:tcW w:w="2892" w:type="pct"/>
            <w:tcMar>
              <w:top w:w="15" w:type="dxa"/>
              <w:left w:w="15" w:type="dxa"/>
              <w:bottom w:w="15" w:type="dxa"/>
              <w:right w:w="15" w:type="dxa"/>
            </w:tcMar>
            <w:vAlign w:val="center"/>
            <w:hideMark/>
          </w:tcPr>
          <w:p w14:paraId="3D28D7E1" w14:textId="77777777" w:rsidR="0074183C" w:rsidRPr="00075331" w:rsidRDefault="0074183C" w:rsidP="0074183C">
            <w:pPr>
              <w:spacing w:after="0" w:line="240" w:lineRule="auto"/>
            </w:pPr>
            <w:r w:rsidRPr="00075331">
              <w:t>dermatochalasis.tw.</w:t>
            </w:r>
          </w:p>
        </w:tc>
        <w:tc>
          <w:tcPr>
            <w:tcW w:w="1878" w:type="pct"/>
            <w:tcMar>
              <w:top w:w="15" w:type="dxa"/>
              <w:left w:w="15" w:type="dxa"/>
              <w:bottom w:w="15" w:type="dxa"/>
              <w:right w:w="15" w:type="dxa"/>
            </w:tcMar>
            <w:vAlign w:val="center"/>
            <w:hideMark/>
          </w:tcPr>
          <w:p w14:paraId="62EEB125" w14:textId="77777777" w:rsidR="0074183C" w:rsidRPr="00075331" w:rsidRDefault="0074183C" w:rsidP="0074183C">
            <w:pPr>
              <w:spacing w:after="0" w:line="240" w:lineRule="auto"/>
            </w:pPr>
            <w:r w:rsidRPr="00075331">
              <w:t>313</w:t>
            </w:r>
          </w:p>
        </w:tc>
      </w:tr>
      <w:tr w:rsidR="0074183C" w:rsidRPr="00AB09E5" w14:paraId="38912F18" w14:textId="77777777" w:rsidTr="0074183C">
        <w:tc>
          <w:tcPr>
            <w:tcW w:w="231" w:type="pct"/>
            <w:tcMar>
              <w:top w:w="15" w:type="dxa"/>
              <w:left w:w="15" w:type="dxa"/>
              <w:bottom w:w="15" w:type="dxa"/>
              <w:right w:w="15" w:type="dxa"/>
            </w:tcMar>
            <w:vAlign w:val="center"/>
            <w:hideMark/>
          </w:tcPr>
          <w:p w14:paraId="25D68C69" w14:textId="77777777" w:rsidR="0074183C" w:rsidRPr="00075331" w:rsidRDefault="0074183C" w:rsidP="0074183C">
            <w:pPr>
              <w:spacing w:after="0" w:line="240" w:lineRule="auto"/>
            </w:pPr>
            <w:r w:rsidRPr="00075331">
              <w:t>6</w:t>
            </w:r>
          </w:p>
        </w:tc>
        <w:tc>
          <w:tcPr>
            <w:tcW w:w="2892" w:type="pct"/>
            <w:tcMar>
              <w:top w:w="15" w:type="dxa"/>
              <w:left w:w="15" w:type="dxa"/>
              <w:bottom w:w="15" w:type="dxa"/>
              <w:right w:w="15" w:type="dxa"/>
            </w:tcMar>
            <w:vAlign w:val="center"/>
            <w:hideMark/>
          </w:tcPr>
          <w:p w14:paraId="32D55703" w14:textId="77777777" w:rsidR="0074183C" w:rsidRPr="00075331" w:rsidRDefault="0074183C" w:rsidP="0074183C">
            <w:pPr>
              <w:spacing w:after="0" w:line="240" w:lineRule="auto"/>
            </w:pPr>
            <w:r w:rsidRPr="00075331">
              <w:t>1 or 2 or 3 or 4 or 5</w:t>
            </w:r>
          </w:p>
        </w:tc>
        <w:tc>
          <w:tcPr>
            <w:tcW w:w="1878" w:type="pct"/>
            <w:tcMar>
              <w:top w:w="15" w:type="dxa"/>
              <w:left w:w="15" w:type="dxa"/>
              <w:bottom w:w="15" w:type="dxa"/>
              <w:right w:w="15" w:type="dxa"/>
            </w:tcMar>
            <w:vAlign w:val="center"/>
            <w:hideMark/>
          </w:tcPr>
          <w:p w14:paraId="3D77D0C7" w14:textId="77777777" w:rsidR="0074183C" w:rsidRPr="00075331" w:rsidRDefault="0074183C" w:rsidP="0074183C">
            <w:pPr>
              <w:spacing w:after="0" w:line="240" w:lineRule="auto"/>
            </w:pPr>
            <w:r w:rsidRPr="00075331">
              <w:t>8,095</w:t>
            </w:r>
          </w:p>
        </w:tc>
      </w:tr>
      <w:tr w:rsidR="0074183C" w:rsidRPr="00AB09E5" w14:paraId="0205B241" w14:textId="77777777" w:rsidTr="0074183C">
        <w:tc>
          <w:tcPr>
            <w:tcW w:w="231" w:type="pct"/>
            <w:tcMar>
              <w:top w:w="15" w:type="dxa"/>
              <w:left w:w="15" w:type="dxa"/>
              <w:bottom w:w="15" w:type="dxa"/>
              <w:right w:w="15" w:type="dxa"/>
            </w:tcMar>
            <w:vAlign w:val="center"/>
            <w:hideMark/>
          </w:tcPr>
          <w:p w14:paraId="34C88C87" w14:textId="77777777" w:rsidR="0074183C" w:rsidRPr="00075331" w:rsidRDefault="0074183C" w:rsidP="0074183C">
            <w:pPr>
              <w:spacing w:after="0" w:line="240" w:lineRule="auto"/>
            </w:pPr>
            <w:r w:rsidRPr="00075331">
              <w:t>7</w:t>
            </w:r>
          </w:p>
        </w:tc>
        <w:tc>
          <w:tcPr>
            <w:tcW w:w="2892" w:type="pct"/>
            <w:tcMar>
              <w:top w:w="15" w:type="dxa"/>
              <w:left w:w="15" w:type="dxa"/>
              <w:bottom w:w="15" w:type="dxa"/>
              <w:right w:w="15" w:type="dxa"/>
            </w:tcMar>
            <w:vAlign w:val="center"/>
            <w:hideMark/>
          </w:tcPr>
          <w:p w14:paraId="0CC3E499" w14:textId="77777777" w:rsidR="0074183C" w:rsidRPr="00075331" w:rsidRDefault="0074183C" w:rsidP="0074183C">
            <w:pPr>
              <w:spacing w:after="0" w:line="240" w:lineRule="auto"/>
            </w:pPr>
            <w:r w:rsidRPr="00075331">
              <w:t>exp Critical Pathways/</w:t>
            </w:r>
          </w:p>
        </w:tc>
        <w:tc>
          <w:tcPr>
            <w:tcW w:w="1878" w:type="pct"/>
            <w:tcMar>
              <w:top w:w="15" w:type="dxa"/>
              <w:left w:w="15" w:type="dxa"/>
              <w:bottom w:w="15" w:type="dxa"/>
              <w:right w:w="15" w:type="dxa"/>
            </w:tcMar>
            <w:vAlign w:val="center"/>
            <w:hideMark/>
          </w:tcPr>
          <w:p w14:paraId="522574FB" w14:textId="77777777" w:rsidR="0074183C" w:rsidRPr="00075331" w:rsidRDefault="0074183C" w:rsidP="0074183C">
            <w:pPr>
              <w:spacing w:after="0" w:line="240" w:lineRule="auto"/>
            </w:pPr>
            <w:r w:rsidRPr="00075331">
              <w:t>8,221</w:t>
            </w:r>
          </w:p>
        </w:tc>
      </w:tr>
      <w:tr w:rsidR="0074183C" w:rsidRPr="00AB09E5" w14:paraId="063E8D49" w14:textId="77777777" w:rsidTr="0074183C">
        <w:tc>
          <w:tcPr>
            <w:tcW w:w="231" w:type="pct"/>
            <w:tcMar>
              <w:top w:w="15" w:type="dxa"/>
              <w:left w:w="15" w:type="dxa"/>
              <w:bottom w:w="15" w:type="dxa"/>
              <w:right w:w="15" w:type="dxa"/>
            </w:tcMar>
            <w:vAlign w:val="center"/>
            <w:hideMark/>
          </w:tcPr>
          <w:p w14:paraId="2F941EC3" w14:textId="77777777" w:rsidR="0074183C" w:rsidRPr="00075331" w:rsidRDefault="0074183C" w:rsidP="0074183C">
            <w:pPr>
              <w:spacing w:after="0" w:line="240" w:lineRule="auto"/>
            </w:pPr>
            <w:r w:rsidRPr="00075331">
              <w:t>8</w:t>
            </w:r>
          </w:p>
        </w:tc>
        <w:tc>
          <w:tcPr>
            <w:tcW w:w="2892" w:type="pct"/>
            <w:tcMar>
              <w:top w:w="15" w:type="dxa"/>
              <w:left w:w="15" w:type="dxa"/>
              <w:bottom w:w="15" w:type="dxa"/>
              <w:right w:w="15" w:type="dxa"/>
            </w:tcMar>
            <w:vAlign w:val="center"/>
            <w:hideMark/>
          </w:tcPr>
          <w:p w14:paraId="606CECB1" w14:textId="77777777" w:rsidR="0074183C" w:rsidRPr="00075331" w:rsidRDefault="0074183C" w:rsidP="0074183C">
            <w:pPr>
              <w:spacing w:after="0" w:line="240" w:lineRule="auto"/>
            </w:pPr>
            <w:r w:rsidRPr="00075331">
              <w:t>exp Clinical Protocols/</w:t>
            </w:r>
          </w:p>
        </w:tc>
        <w:tc>
          <w:tcPr>
            <w:tcW w:w="1878" w:type="pct"/>
            <w:tcMar>
              <w:top w:w="15" w:type="dxa"/>
              <w:left w:w="15" w:type="dxa"/>
              <w:bottom w:w="15" w:type="dxa"/>
              <w:right w:w="15" w:type="dxa"/>
            </w:tcMar>
            <w:vAlign w:val="center"/>
            <w:hideMark/>
          </w:tcPr>
          <w:p w14:paraId="4DC12894" w14:textId="77777777" w:rsidR="0074183C" w:rsidRPr="00075331" w:rsidRDefault="0074183C" w:rsidP="0074183C">
            <w:pPr>
              <w:spacing w:after="0" w:line="240" w:lineRule="auto"/>
            </w:pPr>
            <w:r w:rsidRPr="00075331">
              <w:t>198,545</w:t>
            </w:r>
          </w:p>
        </w:tc>
      </w:tr>
      <w:tr w:rsidR="0074183C" w:rsidRPr="00AB09E5" w14:paraId="6094D4CD" w14:textId="77777777" w:rsidTr="0074183C">
        <w:tc>
          <w:tcPr>
            <w:tcW w:w="231" w:type="pct"/>
            <w:tcMar>
              <w:top w:w="15" w:type="dxa"/>
              <w:left w:w="15" w:type="dxa"/>
              <w:bottom w:w="15" w:type="dxa"/>
              <w:right w:w="15" w:type="dxa"/>
            </w:tcMar>
            <w:vAlign w:val="center"/>
            <w:hideMark/>
          </w:tcPr>
          <w:p w14:paraId="28BEE2FE" w14:textId="77777777" w:rsidR="0074183C" w:rsidRPr="00075331" w:rsidRDefault="0074183C" w:rsidP="0074183C">
            <w:pPr>
              <w:spacing w:after="0" w:line="240" w:lineRule="auto"/>
            </w:pPr>
            <w:r w:rsidRPr="00075331">
              <w:t>9</w:t>
            </w:r>
          </w:p>
        </w:tc>
        <w:tc>
          <w:tcPr>
            <w:tcW w:w="2892" w:type="pct"/>
            <w:tcMar>
              <w:top w:w="15" w:type="dxa"/>
              <w:left w:w="15" w:type="dxa"/>
              <w:bottom w:w="15" w:type="dxa"/>
              <w:right w:w="15" w:type="dxa"/>
            </w:tcMar>
            <w:vAlign w:val="center"/>
            <w:hideMark/>
          </w:tcPr>
          <w:p w14:paraId="3E16E9F7" w14:textId="77777777" w:rsidR="0074183C" w:rsidRPr="00075331" w:rsidRDefault="0074183C" w:rsidP="0074183C">
            <w:pPr>
              <w:spacing w:after="0" w:line="240" w:lineRule="auto"/>
            </w:pPr>
            <w:r w:rsidRPr="00075331">
              <w:t>exp Consensus Development Conference/ or exp Consensus/ or exp Consensus Development Conferences as Topic/</w:t>
            </w:r>
          </w:p>
        </w:tc>
        <w:tc>
          <w:tcPr>
            <w:tcW w:w="1878" w:type="pct"/>
            <w:tcMar>
              <w:top w:w="15" w:type="dxa"/>
              <w:left w:w="15" w:type="dxa"/>
              <w:bottom w:w="15" w:type="dxa"/>
              <w:right w:w="15" w:type="dxa"/>
            </w:tcMar>
            <w:vAlign w:val="center"/>
            <w:hideMark/>
          </w:tcPr>
          <w:p w14:paraId="101A6B58" w14:textId="77777777" w:rsidR="0074183C" w:rsidRPr="00075331" w:rsidRDefault="0074183C" w:rsidP="0074183C">
            <w:pPr>
              <w:spacing w:after="0" w:line="240" w:lineRule="auto"/>
            </w:pPr>
            <w:r w:rsidRPr="00075331">
              <w:t>39,172</w:t>
            </w:r>
          </w:p>
        </w:tc>
      </w:tr>
      <w:tr w:rsidR="0074183C" w:rsidRPr="00AB09E5" w14:paraId="6331092C" w14:textId="77777777" w:rsidTr="0074183C">
        <w:tc>
          <w:tcPr>
            <w:tcW w:w="231" w:type="pct"/>
            <w:tcMar>
              <w:top w:w="15" w:type="dxa"/>
              <w:left w:w="15" w:type="dxa"/>
              <w:bottom w:w="15" w:type="dxa"/>
              <w:right w:w="15" w:type="dxa"/>
            </w:tcMar>
            <w:vAlign w:val="center"/>
            <w:hideMark/>
          </w:tcPr>
          <w:p w14:paraId="48B4A167" w14:textId="77777777" w:rsidR="0074183C" w:rsidRPr="00075331" w:rsidRDefault="0074183C" w:rsidP="0074183C">
            <w:pPr>
              <w:spacing w:after="0" w:line="240" w:lineRule="auto"/>
            </w:pPr>
            <w:r w:rsidRPr="00075331">
              <w:t>10</w:t>
            </w:r>
          </w:p>
        </w:tc>
        <w:tc>
          <w:tcPr>
            <w:tcW w:w="2892" w:type="pct"/>
            <w:tcMar>
              <w:top w:w="15" w:type="dxa"/>
              <w:left w:w="15" w:type="dxa"/>
              <w:bottom w:w="15" w:type="dxa"/>
              <w:right w:w="15" w:type="dxa"/>
            </w:tcMar>
            <w:vAlign w:val="center"/>
            <w:hideMark/>
          </w:tcPr>
          <w:p w14:paraId="54A0B998" w14:textId="77777777" w:rsidR="0074183C" w:rsidRPr="00075331" w:rsidRDefault="0074183C" w:rsidP="0074183C">
            <w:pPr>
              <w:spacing w:after="0" w:line="240" w:lineRule="auto"/>
            </w:pPr>
            <w:r w:rsidRPr="00075331">
              <w:t>Critical Pathways/</w:t>
            </w:r>
          </w:p>
        </w:tc>
        <w:tc>
          <w:tcPr>
            <w:tcW w:w="1878" w:type="pct"/>
            <w:tcMar>
              <w:top w:w="15" w:type="dxa"/>
              <w:left w:w="15" w:type="dxa"/>
              <w:bottom w:w="15" w:type="dxa"/>
              <w:right w:w="15" w:type="dxa"/>
            </w:tcMar>
            <w:vAlign w:val="center"/>
            <w:hideMark/>
          </w:tcPr>
          <w:p w14:paraId="34FCD981" w14:textId="77777777" w:rsidR="0074183C" w:rsidRPr="00075331" w:rsidRDefault="0074183C" w:rsidP="0074183C">
            <w:pPr>
              <w:spacing w:after="0" w:line="240" w:lineRule="auto"/>
            </w:pPr>
            <w:r w:rsidRPr="00075331">
              <w:t>8,221</w:t>
            </w:r>
          </w:p>
        </w:tc>
      </w:tr>
      <w:tr w:rsidR="0074183C" w:rsidRPr="00AB09E5" w14:paraId="6838EA54" w14:textId="77777777" w:rsidTr="0074183C">
        <w:tc>
          <w:tcPr>
            <w:tcW w:w="231" w:type="pct"/>
            <w:tcMar>
              <w:top w:w="15" w:type="dxa"/>
              <w:left w:w="15" w:type="dxa"/>
              <w:bottom w:w="15" w:type="dxa"/>
              <w:right w:w="15" w:type="dxa"/>
            </w:tcMar>
            <w:vAlign w:val="center"/>
            <w:hideMark/>
          </w:tcPr>
          <w:p w14:paraId="6B39B89F" w14:textId="77777777" w:rsidR="0074183C" w:rsidRPr="00075331" w:rsidRDefault="0074183C" w:rsidP="0074183C">
            <w:pPr>
              <w:spacing w:after="0" w:line="240" w:lineRule="auto"/>
            </w:pPr>
            <w:r w:rsidRPr="00075331">
              <w:t>11</w:t>
            </w:r>
          </w:p>
        </w:tc>
        <w:tc>
          <w:tcPr>
            <w:tcW w:w="2892" w:type="pct"/>
            <w:tcMar>
              <w:top w:w="15" w:type="dxa"/>
              <w:left w:w="15" w:type="dxa"/>
              <w:bottom w:w="15" w:type="dxa"/>
              <w:right w:w="15" w:type="dxa"/>
            </w:tcMar>
            <w:vAlign w:val="center"/>
            <w:hideMark/>
          </w:tcPr>
          <w:p w14:paraId="206C8B39" w14:textId="77777777" w:rsidR="0074183C" w:rsidRPr="00075331" w:rsidRDefault="0074183C" w:rsidP="0074183C">
            <w:pPr>
              <w:spacing w:after="0" w:line="240" w:lineRule="auto"/>
            </w:pPr>
            <w:r w:rsidRPr="00075331">
              <w:t>exp Guideline/</w:t>
            </w:r>
          </w:p>
        </w:tc>
        <w:tc>
          <w:tcPr>
            <w:tcW w:w="1878" w:type="pct"/>
            <w:tcMar>
              <w:top w:w="15" w:type="dxa"/>
              <w:left w:w="15" w:type="dxa"/>
              <w:bottom w:w="15" w:type="dxa"/>
              <w:right w:w="15" w:type="dxa"/>
            </w:tcMar>
            <w:vAlign w:val="center"/>
            <w:hideMark/>
          </w:tcPr>
          <w:p w14:paraId="7F25CD10" w14:textId="77777777" w:rsidR="0074183C" w:rsidRPr="00075331" w:rsidRDefault="0074183C" w:rsidP="0074183C">
            <w:pPr>
              <w:spacing w:after="0" w:line="240" w:lineRule="auto"/>
            </w:pPr>
            <w:r w:rsidRPr="00075331">
              <w:t>39,978</w:t>
            </w:r>
          </w:p>
        </w:tc>
      </w:tr>
      <w:tr w:rsidR="0074183C" w:rsidRPr="00AB09E5" w14:paraId="4A74A616" w14:textId="77777777" w:rsidTr="0074183C">
        <w:tc>
          <w:tcPr>
            <w:tcW w:w="231" w:type="pct"/>
            <w:tcMar>
              <w:top w:w="15" w:type="dxa"/>
              <w:left w:w="15" w:type="dxa"/>
              <w:bottom w:w="15" w:type="dxa"/>
              <w:right w:w="15" w:type="dxa"/>
            </w:tcMar>
            <w:vAlign w:val="center"/>
            <w:hideMark/>
          </w:tcPr>
          <w:p w14:paraId="6A827ABF" w14:textId="77777777" w:rsidR="0074183C" w:rsidRPr="00075331" w:rsidRDefault="0074183C" w:rsidP="0074183C">
            <w:pPr>
              <w:spacing w:after="0" w:line="240" w:lineRule="auto"/>
            </w:pPr>
            <w:r w:rsidRPr="00075331">
              <w:t>12</w:t>
            </w:r>
          </w:p>
        </w:tc>
        <w:tc>
          <w:tcPr>
            <w:tcW w:w="2892" w:type="pct"/>
            <w:tcMar>
              <w:top w:w="15" w:type="dxa"/>
              <w:left w:w="15" w:type="dxa"/>
              <w:bottom w:w="15" w:type="dxa"/>
              <w:right w:w="15" w:type="dxa"/>
            </w:tcMar>
            <w:vAlign w:val="center"/>
            <w:hideMark/>
          </w:tcPr>
          <w:p w14:paraId="2AABD03F" w14:textId="77777777" w:rsidR="0074183C" w:rsidRPr="00075331" w:rsidRDefault="0074183C" w:rsidP="0074183C">
            <w:pPr>
              <w:spacing w:after="0" w:line="240" w:lineRule="auto"/>
            </w:pPr>
            <w:r w:rsidRPr="00075331">
              <w:t>guidelines as topic/</w:t>
            </w:r>
          </w:p>
        </w:tc>
        <w:tc>
          <w:tcPr>
            <w:tcW w:w="1878" w:type="pct"/>
            <w:tcMar>
              <w:top w:w="15" w:type="dxa"/>
              <w:left w:w="15" w:type="dxa"/>
              <w:bottom w:w="15" w:type="dxa"/>
              <w:right w:w="15" w:type="dxa"/>
            </w:tcMar>
            <w:vAlign w:val="center"/>
            <w:hideMark/>
          </w:tcPr>
          <w:p w14:paraId="1C60D914" w14:textId="77777777" w:rsidR="0074183C" w:rsidRPr="00075331" w:rsidRDefault="0074183C" w:rsidP="0074183C">
            <w:pPr>
              <w:spacing w:after="0" w:line="240" w:lineRule="auto"/>
            </w:pPr>
            <w:r w:rsidRPr="00075331">
              <w:t>42,465</w:t>
            </w:r>
          </w:p>
        </w:tc>
      </w:tr>
      <w:tr w:rsidR="0074183C" w:rsidRPr="00AB09E5" w14:paraId="6F4F0AFF" w14:textId="77777777" w:rsidTr="0074183C">
        <w:tc>
          <w:tcPr>
            <w:tcW w:w="231" w:type="pct"/>
            <w:tcMar>
              <w:top w:w="15" w:type="dxa"/>
              <w:left w:w="15" w:type="dxa"/>
              <w:bottom w:w="15" w:type="dxa"/>
              <w:right w:w="15" w:type="dxa"/>
            </w:tcMar>
            <w:vAlign w:val="center"/>
            <w:hideMark/>
          </w:tcPr>
          <w:p w14:paraId="78148151" w14:textId="77777777" w:rsidR="0074183C" w:rsidRPr="00075331" w:rsidRDefault="0074183C" w:rsidP="0074183C">
            <w:pPr>
              <w:spacing w:after="0" w:line="240" w:lineRule="auto"/>
            </w:pPr>
            <w:r w:rsidRPr="00075331">
              <w:t>13</w:t>
            </w:r>
          </w:p>
        </w:tc>
        <w:tc>
          <w:tcPr>
            <w:tcW w:w="2892" w:type="pct"/>
            <w:tcMar>
              <w:top w:w="15" w:type="dxa"/>
              <w:left w:w="15" w:type="dxa"/>
              <w:bottom w:w="15" w:type="dxa"/>
              <w:right w:w="15" w:type="dxa"/>
            </w:tcMar>
            <w:vAlign w:val="center"/>
            <w:hideMark/>
          </w:tcPr>
          <w:p w14:paraId="45B1ECC6" w14:textId="77777777" w:rsidR="0074183C" w:rsidRPr="00075331" w:rsidRDefault="0074183C" w:rsidP="0074183C">
            <w:pPr>
              <w:spacing w:after="0" w:line="240" w:lineRule="auto"/>
            </w:pPr>
            <w:r w:rsidRPr="00075331">
              <w:t>exp practice guideline/</w:t>
            </w:r>
          </w:p>
        </w:tc>
        <w:tc>
          <w:tcPr>
            <w:tcW w:w="1878" w:type="pct"/>
            <w:tcMar>
              <w:top w:w="15" w:type="dxa"/>
              <w:left w:w="15" w:type="dxa"/>
              <w:bottom w:w="15" w:type="dxa"/>
              <w:right w:w="15" w:type="dxa"/>
            </w:tcMar>
            <w:vAlign w:val="center"/>
            <w:hideMark/>
          </w:tcPr>
          <w:p w14:paraId="55D53495" w14:textId="77777777" w:rsidR="0074183C" w:rsidRPr="00075331" w:rsidRDefault="0074183C" w:rsidP="0074183C">
            <w:pPr>
              <w:spacing w:after="0" w:line="240" w:lineRule="auto"/>
            </w:pPr>
            <w:r w:rsidRPr="00075331">
              <w:t>32,918</w:t>
            </w:r>
          </w:p>
        </w:tc>
      </w:tr>
      <w:tr w:rsidR="0074183C" w:rsidRPr="00AB09E5" w14:paraId="50F4EEBD" w14:textId="77777777" w:rsidTr="0074183C">
        <w:tc>
          <w:tcPr>
            <w:tcW w:w="231" w:type="pct"/>
            <w:tcMar>
              <w:top w:w="15" w:type="dxa"/>
              <w:left w:w="15" w:type="dxa"/>
              <w:bottom w:w="15" w:type="dxa"/>
              <w:right w:w="15" w:type="dxa"/>
            </w:tcMar>
            <w:vAlign w:val="center"/>
            <w:hideMark/>
          </w:tcPr>
          <w:p w14:paraId="4665D4CB" w14:textId="77777777" w:rsidR="0074183C" w:rsidRPr="00075331" w:rsidRDefault="0074183C" w:rsidP="0074183C">
            <w:pPr>
              <w:spacing w:after="0" w:line="240" w:lineRule="auto"/>
            </w:pPr>
            <w:r w:rsidRPr="00075331">
              <w:t>14</w:t>
            </w:r>
          </w:p>
        </w:tc>
        <w:tc>
          <w:tcPr>
            <w:tcW w:w="2892" w:type="pct"/>
            <w:tcMar>
              <w:top w:w="15" w:type="dxa"/>
              <w:left w:w="15" w:type="dxa"/>
              <w:bottom w:w="15" w:type="dxa"/>
              <w:right w:w="15" w:type="dxa"/>
            </w:tcMar>
            <w:vAlign w:val="center"/>
            <w:hideMark/>
          </w:tcPr>
          <w:p w14:paraId="4BA148D6" w14:textId="77777777" w:rsidR="0074183C" w:rsidRPr="00075331" w:rsidRDefault="0074183C" w:rsidP="0074183C">
            <w:pPr>
              <w:spacing w:after="0" w:line="240" w:lineRule="auto"/>
            </w:pPr>
            <w:r w:rsidRPr="00075331">
              <w:t>practice guidelines as topic/</w:t>
            </w:r>
          </w:p>
        </w:tc>
        <w:tc>
          <w:tcPr>
            <w:tcW w:w="1878" w:type="pct"/>
            <w:tcMar>
              <w:top w:w="15" w:type="dxa"/>
              <w:left w:w="15" w:type="dxa"/>
              <w:bottom w:w="15" w:type="dxa"/>
              <w:right w:w="15" w:type="dxa"/>
            </w:tcMar>
            <w:vAlign w:val="center"/>
            <w:hideMark/>
          </w:tcPr>
          <w:p w14:paraId="05741276" w14:textId="77777777" w:rsidR="0074183C" w:rsidRPr="00075331" w:rsidRDefault="0074183C" w:rsidP="0074183C">
            <w:pPr>
              <w:spacing w:after="0" w:line="240" w:lineRule="auto"/>
            </w:pPr>
            <w:r w:rsidRPr="00075331">
              <w:t>131,111</w:t>
            </w:r>
          </w:p>
        </w:tc>
      </w:tr>
      <w:tr w:rsidR="0074183C" w:rsidRPr="00AB09E5" w14:paraId="0E7B965A" w14:textId="77777777" w:rsidTr="0074183C">
        <w:tc>
          <w:tcPr>
            <w:tcW w:w="231" w:type="pct"/>
            <w:tcMar>
              <w:top w:w="15" w:type="dxa"/>
              <w:left w:w="15" w:type="dxa"/>
              <w:bottom w:w="15" w:type="dxa"/>
              <w:right w:w="15" w:type="dxa"/>
            </w:tcMar>
            <w:vAlign w:val="center"/>
            <w:hideMark/>
          </w:tcPr>
          <w:p w14:paraId="5F77B980" w14:textId="77777777" w:rsidR="0074183C" w:rsidRPr="00075331" w:rsidRDefault="0074183C" w:rsidP="0074183C">
            <w:pPr>
              <w:spacing w:after="0" w:line="240" w:lineRule="auto"/>
            </w:pPr>
            <w:r w:rsidRPr="00075331">
              <w:t>15</w:t>
            </w:r>
          </w:p>
        </w:tc>
        <w:tc>
          <w:tcPr>
            <w:tcW w:w="2892" w:type="pct"/>
            <w:tcMar>
              <w:top w:w="15" w:type="dxa"/>
              <w:left w:w="15" w:type="dxa"/>
              <w:bottom w:w="15" w:type="dxa"/>
              <w:right w:w="15" w:type="dxa"/>
            </w:tcMar>
            <w:vAlign w:val="center"/>
            <w:hideMark/>
          </w:tcPr>
          <w:p w14:paraId="0F145279" w14:textId="77777777" w:rsidR="0074183C" w:rsidRPr="00075331" w:rsidRDefault="0074183C" w:rsidP="0074183C">
            <w:pPr>
              <w:spacing w:after="0" w:line="240" w:lineRule="auto"/>
            </w:pPr>
            <w:r w:rsidRPr="00075331">
              <w:t>health planning guidelines/</w:t>
            </w:r>
          </w:p>
        </w:tc>
        <w:tc>
          <w:tcPr>
            <w:tcW w:w="1878" w:type="pct"/>
            <w:tcMar>
              <w:top w:w="15" w:type="dxa"/>
              <w:left w:w="15" w:type="dxa"/>
              <w:bottom w:w="15" w:type="dxa"/>
              <w:right w:w="15" w:type="dxa"/>
            </w:tcMar>
            <w:vAlign w:val="center"/>
            <w:hideMark/>
          </w:tcPr>
          <w:p w14:paraId="19AC9FCF" w14:textId="77777777" w:rsidR="0074183C" w:rsidRPr="00075331" w:rsidRDefault="0074183C" w:rsidP="0074183C">
            <w:pPr>
              <w:spacing w:after="0" w:line="240" w:lineRule="auto"/>
            </w:pPr>
            <w:r w:rsidRPr="00075331">
              <w:t>4,165</w:t>
            </w:r>
          </w:p>
        </w:tc>
      </w:tr>
      <w:tr w:rsidR="0074183C" w:rsidRPr="00AB09E5" w14:paraId="5DB2614C" w14:textId="77777777" w:rsidTr="0074183C">
        <w:tc>
          <w:tcPr>
            <w:tcW w:w="231" w:type="pct"/>
            <w:tcMar>
              <w:top w:w="15" w:type="dxa"/>
              <w:left w:w="15" w:type="dxa"/>
              <w:bottom w:w="15" w:type="dxa"/>
              <w:right w:w="15" w:type="dxa"/>
            </w:tcMar>
            <w:vAlign w:val="center"/>
            <w:hideMark/>
          </w:tcPr>
          <w:p w14:paraId="3643BF7B" w14:textId="77777777" w:rsidR="0074183C" w:rsidRPr="00075331" w:rsidRDefault="0074183C" w:rsidP="0074183C">
            <w:pPr>
              <w:spacing w:after="0" w:line="240" w:lineRule="auto"/>
            </w:pPr>
            <w:r w:rsidRPr="00075331">
              <w:t>16</w:t>
            </w:r>
          </w:p>
        </w:tc>
        <w:tc>
          <w:tcPr>
            <w:tcW w:w="2892" w:type="pct"/>
            <w:tcMar>
              <w:top w:w="15" w:type="dxa"/>
              <w:left w:w="15" w:type="dxa"/>
              <w:bottom w:w="15" w:type="dxa"/>
              <w:right w:w="15" w:type="dxa"/>
            </w:tcMar>
            <w:vAlign w:val="center"/>
            <w:hideMark/>
          </w:tcPr>
          <w:p w14:paraId="6015A1C8" w14:textId="77777777" w:rsidR="0074183C" w:rsidRPr="00075331" w:rsidRDefault="0074183C" w:rsidP="0074183C">
            <w:pPr>
              <w:spacing w:after="0" w:line="240" w:lineRule="auto"/>
            </w:pPr>
            <w:r w:rsidRPr="00075331">
              <w:t>(guideline or practice guideline or consensus development conference or consensus development conference, NIH).pt.</w:t>
            </w:r>
          </w:p>
        </w:tc>
        <w:tc>
          <w:tcPr>
            <w:tcW w:w="1878" w:type="pct"/>
            <w:tcMar>
              <w:top w:w="15" w:type="dxa"/>
              <w:left w:w="15" w:type="dxa"/>
              <w:bottom w:w="15" w:type="dxa"/>
              <w:right w:w="15" w:type="dxa"/>
            </w:tcMar>
            <w:vAlign w:val="center"/>
            <w:hideMark/>
          </w:tcPr>
          <w:p w14:paraId="38EC562A" w14:textId="77777777" w:rsidR="0074183C" w:rsidRPr="00075331" w:rsidRDefault="0074183C" w:rsidP="0074183C">
            <w:pPr>
              <w:spacing w:after="0" w:line="240" w:lineRule="auto"/>
            </w:pPr>
            <w:r w:rsidRPr="00075331">
              <w:t>50,109</w:t>
            </w:r>
          </w:p>
        </w:tc>
      </w:tr>
      <w:tr w:rsidR="0074183C" w:rsidRPr="00AB09E5" w14:paraId="0D621441" w14:textId="77777777" w:rsidTr="0074183C">
        <w:tc>
          <w:tcPr>
            <w:tcW w:w="231" w:type="pct"/>
            <w:tcMar>
              <w:top w:w="15" w:type="dxa"/>
              <w:left w:w="15" w:type="dxa"/>
              <w:bottom w:w="15" w:type="dxa"/>
              <w:right w:w="15" w:type="dxa"/>
            </w:tcMar>
            <w:vAlign w:val="center"/>
            <w:hideMark/>
          </w:tcPr>
          <w:p w14:paraId="1F4B8ADC" w14:textId="77777777" w:rsidR="0074183C" w:rsidRPr="00075331" w:rsidRDefault="0074183C" w:rsidP="0074183C">
            <w:pPr>
              <w:spacing w:after="0" w:line="240" w:lineRule="auto"/>
            </w:pPr>
            <w:r w:rsidRPr="00075331">
              <w:lastRenderedPageBreak/>
              <w:t>17</w:t>
            </w:r>
          </w:p>
        </w:tc>
        <w:tc>
          <w:tcPr>
            <w:tcW w:w="2892" w:type="pct"/>
            <w:tcMar>
              <w:top w:w="15" w:type="dxa"/>
              <w:left w:w="15" w:type="dxa"/>
              <w:bottom w:w="15" w:type="dxa"/>
              <w:right w:w="15" w:type="dxa"/>
            </w:tcMar>
            <w:vAlign w:val="center"/>
            <w:hideMark/>
          </w:tcPr>
          <w:p w14:paraId="301AE321" w14:textId="77777777" w:rsidR="0074183C" w:rsidRPr="00075331" w:rsidRDefault="0074183C" w:rsidP="0074183C">
            <w:pPr>
              <w:spacing w:after="0" w:line="240" w:lineRule="auto"/>
            </w:pPr>
            <w:r w:rsidRPr="00075331">
              <w:t>(position statement* or policy statement* or practice parameter* or best practice*).ti,ab,kf,kw.</w:t>
            </w:r>
          </w:p>
        </w:tc>
        <w:tc>
          <w:tcPr>
            <w:tcW w:w="1878" w:type="pct"/>
            <w:tcMar>
              <w:top w:w="15" w:type="dxa"/>
              <w:left w:w="15" w:type="dxa"/>
              <w:bottom w:w="15" w:type="dxa"/>
              <w:right w:w="15" w:type="dxa"/>
            </w:tcMar>
            <w:vAlign w:val="center"/>
            <w:hideMark/>
          </w:tcPr>
          <w:p w14:paraId="12882E3A" w14:textId="77777777" w:rsidR="0074183C" w:rsidRPr="00075331" w:rsidRDefault="0074183C" w:rsidP="0074183C">
            <w:pPr>
              <w:spacing w:after="0" w:line="240" w:lineRule="auto"/>
            </w:pPr>
            <w:r w:rsidRPr="00075331">
              <w:t>53,670</w:t>
            </w:r>
          </w:p>
        </w:tc>
      </w:tr>
      <w:tr w:rsidR="0074183C" w:rsidRPr="00AB09E5" w14:paraId="10D3A401" w14:textId="77777777" w:rsidTr="0074183C">
        <w:tc>
          <w:tcPr>
            <w:tcW w:w="231" w:type="pct"/>
            <w:tcMar>
              <w:top w:w="15" w:type="dxa"/>
              <w:left w:w="15" w:type="dxa"/>
              <w:bottom w:w="15" w:type="dxa"/>
              <w:right w:w="15" w:type="dxa"/>
            </w:tcMar>
            <w:vAlign w:val="center"/>
            <w:hideMark/>
          </w:tcPr>
          <w:p w14:paraId="06AFC966" w14:textId="77777777" w:rsidR="0074183C" w:rsidRPr="00075331" w:rsidRDefault="0074183C" w:rsidP="0074183C">
            <w:pPr>
              <w:spacing w:after="0" w:line="240" w:lineRule="auto"/>
            </w:pPr>
            <w:r w:rsidRPr="00075331">
              <w:t>18</w:t>
            </w:r>
          </w:p>
        </w:tc>
        <w:tc>
          <w:tcPr>
            <w:tcW w:w="2892" w:type="pct"/>
            <w:tcMar>
              <w:top w:w="15" w:type="dxa"/>
              <w:left w:w="15" w:type="dxa"/>
              <w:bottom w:w="15" w:type="dxa"/>
              <w:right w:w="15" w:type="dxa"/>
            </w:tcMar>
            <w:vAlign w:val="center"/>
            <w:hideMark/>
          </w:tcPr>
          <w:p w14:paraId="20CE01FB" w14:textId="77777777" w:rsidR="0074183C" w:rsidRPr="00075331" w:rsidRDefault="0074183C" w:rsidP="0074183C">
            <w:pPr>
              <w:spacing w:after="0" w:line="240" w:lineRule="auto"/>
            </w:pPr>
            <w:r w:rsidRPr="00075331">
              <w:t>(standards or guideline or guidelines).ti,kf,kw.</w:t>
            </w:r>
          </w:p>
        </w:tc>
        <w:tc>
          <w:tcPr>
            <w:tcW w:w="1878" w:type="pct"/>
            <w:tcMar>
              <w:top w:w="15" w:type="dxa"/>
              <w:left w:w="15" w:type="dxa"/>
              <w:bottom w:w="15" w:type="dxa"/>
              <w:right w:w="15" w:type="dxa"/>
            </w:tcMar>
            <w:vAlign w:val="center"/>
            <w:hideMark/>
          </w:tcPr>
          <w:p w14:paraId="1A2ECF4E" w14:textId="77777777" w:rsidR="0074183C" w:rsidRPr="00075331" w:rsidRDefault="0074183C" w:rsidP="0074183C">
            <w:pPr>
              <w:spacing w:after="0" w:line="240" w:lineRule="auto"/>
            </w:pPr>
            <w:r w:rsidRPr="00075331">
              <w:t>149,024</w:t>
            </w:r>
          </w:p>
        </w:tc>
      </w:tr>
      <w:tr w:rsidR="0074183C" w:rsidRPr="00AB09E5" w14:paraId="4F542F74" w14:textId="77777777" w:rsidTr="0074183C">
        <w:tc>
          <w:tcPr>
            <w:tcW w:w="231" w:type="pct"/>
            <w:tcMar>
              <w:top w:w="15" w:type="dxa"/>
              <w:left w:w="15" w:type="dxa"/>
              <w:bottom w:w="15" w:type="dxa"/>
              <w:right w:w="15" w:type="dxa"/>
            </w:tcMar>
            <w:vAlign w:val="center"/>
            <w:hideMark/>
          </w:tcPr>
          <w:p w14:paraId="2247647A" w14:textId="77777777" w:rsidR="0074183C" w:rsidRPr="00075331" w:rsidRDefault="0074183C" w:rsidP="0074183C">
            <w:pPr>
              <w:spacing w:after="0" w:line="240" w:lineRule="auto"/>
            </w:pPr>
            <w:r w:rsidRPr="00075331">
              <w:t>19</w:t>
            </w:r>
          </w:p>
        </w:tc>
        <w:tc>
          <w:tcPr>
            <w:tcW w:w="2892" w:type="pct"/>
            <w:tcMar>
              <w:top w:w="15" w:type="dxa"/>
              <w:left w:w="15" w:type="dxa"/>
              <w:bottom w:w="15" w:type="dxa"/>
              <w:right w:w="15" w:type="dxa"/>
            </w:tcMar>
            <w:vAlign w:val="center"/>
            <w:hideMark/>
          </w:tcPr>
          <w:p w14:paraId="27E652F2" w14:textId="77777777" w:rsidR="0074183C" w:rsidRPr="00075331" w:rsidRDefault="0074183C" w:rsidP="0074183C">
            <w:pPr>
              <w:spacing w:after="0" w:line="240" w:lineRule="auto"/>
            </w:pPr>
            <w:r w:rsidRPr="00075331">
              <w:t>((practice or treatment* or clinical) adj guideline*).ab.</w:t>
            </w:r>
          </w:p>
        </w:tc>
        <w:tc>
          <w:tcPr>
            <w:tcW w:w="1878" w:type="pct"/>
            <w:tcMar>
              <w:top w:w="15" w:type="dxa"/>
              <w:left w:w="15" w:type="dxa"/>
              <w:bottom w:w="15" w:type="dxa"/>
              <w:right w:w="15" w:type="dxa"/>
            </w:tcMar>
            <w:vAlign w:val="center"/>
            <w:hideMark/>
          </w:tcPr>
          <w:p w14:paraId="4A08D159" w14:textId="77777777" w:rsidR="0074183C" w:rsidRPr="00075331" w:rsidRDefault="0074183C" w:rsidP="0074183C">
            <w:pPr>
              <w:spacing w:after="0" w:line="240" w:lineRule="auto"/>
            </w:pPr>
            <w:r w:rsidRPr="00075331">
              <w:t>60,426</w:t>
            </w:r>
          </w:p>
        </w:tc>
      </w:tr>
      <w:tr w:rsidR="0074183C" w:rsidRPr="00AB09E5" w14:paraId="688CF999" w14:textId="77777777" w:rsidTr="0074183C">
        <w:tc>
          <w:tcPr>
            <w:tcW w:w="231" w:type="pct"/>
            <w:tcMar>
              <w:top w:w="15" w:type="dxa"/>
              <w:left w:w="15" w:type="dxa"/>
              <w:bottom w:w="15" w:type="dxa"/>
              <w:right w:w="15" w:type="dxa"/>
            </w:tcMar>
            <w:vAlign w:val="center"/>
            <w:hideMark/>
          </w:tcPr>
          <w:p w14:paraId="6BAD5319" w14:textId="77777777" w:rsidR="0074183C" w:rsidRPr="00075331" w:rsidRDefault="0074183C" w:rsidP="0074183C">
            <w:pPr>
              <w:spacing w:after="0" w:line="240" w:lineRule="auto"/>
            </w:pPr>
            <w:r w:rsidRPr="00075331">
              <w:t>20</w:t>
            </w:r>
          </w:p>
        </w:tc>
        <w:tc>
          <w:tcPr>
            <w:tcW w:w="2892" w:type="pct"/>
            <w:tcMar>
              <w:top w:w="15" w:type="dxa"/>
              <w:left w:w="15" w:type="dxa"/>
              <w:bottom w:w="15" w:type="dxa"/>
              <w:right w:w="15" w:type="dxa"/>
            </w:tcMar>
            <w:vAlign w:val="center"/>
            <w:hideMark/>
          </w:tcPr>
          <w:p w14:paraId="7359DDBD" w14:textId="77777777" w:rsidR="0074183C" w:rsidRPr="00075331" w:rsidRDefault="0074183C" w:rsidP="0074183C">
            <w:pPr>
              <w:spacing w:after="0" w:line="240" w:lineRule="auto"/>
            </w:pPr>
            <w:r w:rsidRPr="00075331">
              <w:t>(CPG or CPGs).ti.</w:t>
            </w:r>
          </w:p>
        </w:tc>
        <w:tc>
          <w:tcPr>
            <w:tcW w:w="1878" w:type="pct"/>
            <w:tcMar>
              <w:top w:w="15" w:type="dxa"/>
              <w:left w:w="15" w:type="dxa"/>
              <w:bottom w:w="15" w:type="dxa"/>
              <w:right w:w="15" w:type="dxa"/>
            </w:tcMar>
            <w:vAlign w:val="center"/>
            <w:hideMark/>
          </w:tcPr>
          <w:p w14:paraId="599C9F02" w14:textId="77777777" w:rsidR="0074183C" w:rsidRPr="00075331" w:rsidRDefault="0074183C" w:rsidP="0074183C">
            <w:pPr>
              <w:spacing w:after="0" w:line="240" w:lineRule="auto"/>
            </w:pPr>
            <w:r w:rsidRPr="00075331">
              <w:t>6,726</w:t>
            </w:r>
          </w:p>
        </w:tc>
      </w:tr>
      <w:tr w:rsidR="0074183C" w:rsidRPr="00AB09E5" w14:paraId="4A6C750B" w14:textId="77777777" w:rsidTr="0074183C">
        <w:tc>
          <w:tcPr>
            <w:tcW w:w="231" w:type="pct"/>
            <w:tcMar>
              <w:top w:w="15" w:type="dxa"/>
              <w:left w:w="15" w:type="dxa"/>
              <w:bottom w:w="15" w:type="dxa"/>
              <w:right w:w="15" w:type="dxa"/>
            </w:tcMar>
            <w:vAlign w:val="center"/>
            <w:hideMark/>
          </w:tcPr>
          <w:p w14:paraId="035055AD" w14:textId="77777777" w:rsidR="0074183C" w:rsidRPr="00075331" w:rsidRDefault="0074183C" w:rsidP="0074183C">
            <w:pPr>
              <w:spacing w:after="0" w:line="240" w:lineRule="auto"/>
            </w:pPr>
            <w:r w:rsidRPr="00075331">
              <w:t>21</w:t>
            </w:r>
          </w:p>
        </w:tc>
        <w:tc>
          <w:tcPr>
            <w:tcW w:w="2892" w:type="pct"/>
            <w:tcMar>
              <w:top w:w="15" w:type="dxa"/>
              <w:left w:w="15" w:type="dxa"/>
              <w:bottom w:w="15" w:type="dxa"/>
              <w:right w:w="15" w:type="dxa"/>
            </w:tcMar>
            <w:vAlign w:val="center"/>
            <w:hideMark/>
          </w:tcPr>
          <w:p w14:paraId="3BF38153" w14:textId="77777777" w:rsidR="0074183C" w:rsidRPr="00075331" w:rsidRDefault="0074183C" w:rsidP="0074183C">
            <w:pPr>
              <w:spacing w:after="0" w:line="240" w:lineRule="auto"/>
            </w:pPr>
            <w:r w:rsidRPr="00075331">
              <w:t>consensus*.ti,kf,kw.</w:t>
            </w:r>
          </w:p>
        </w:tc>
        <w:tc>
          <w:tcPr>
            <w:tcW w:w="1878" w:type="pct"/>
            <w:tcMar>
              <w:top w:w="15" w:type="dxa"/>
              <w:left w:w="15" w:type="dxa"/>
              <w:bottom w:w="15" w:type="dxa"/>
              <w:right w:w="15" w:type="dxa"/>
            </w:tcMar>
            <w:vAlign w:val="center"/>
            <w:hideMark/>
          </w:tcPr>
          <w:p w14:paraId="07B51ED5" w14:textId="77777777" w:rsidR="0074183C" w:rsidRPr="00075331" w:rsidRDefault="0074183C" w:rsidP="0074183C">
            <w:pPr>
              <w:spacing w:after="0" w:line="240" w:lineRule="auto"/>
            </w:pPr>
            <w:r w:rsidRPr="00075331">
              <w:t>40,026</w:t>
            </w:r>
          </w:p>
        </w:tc>
      </w:tr>
      <w:tr w:rsidR="0074183C" w:rsidRPr="00AB09E5" w14:paraId="26AF5FA2" w14:textId="77777777" w:rsidTr="0074183C">
        <w:tc>
          <w:tcPr>
            <w:tcW w:w="231" w:type="pct"/>
            <w:tcMar>
              <w:top w:w="15" w:type="dxa"/>
              <w:left w:w="15" w:type="dxa"/>
              <w:bottom w:w="15" w:type="dxa"/>
              <w:right w:w="15" w:type="dxa"/>
            </w:tcMar>
            <w:vAlign w:val="center"/>
            <w:hideMark/>
          </w:tcPr>
          <w:p w14:paraId="3DD31285" w14:textId="77777777" w:rsidR="0074183C" w:rsidRPr="00075331" w:rsidRDefault="0074183C" w:rsidP="0074183C">
            <w:pPr>
              <w:spacing w:after="0" w:line="240" w:lineRule="auto"/>
            </w:pPr>
            <w:r w:rsidRPr="00075331">
              <w:t>22</w:t>
            </w:r>
          </w:p>
        </w:tc>
        <w:tc>
          <w:tcPr>
            <w:tcW w:w="2892" w:type="pct"/>
            <w:tcMar>
              <w:top w:w="15" w:type="dxa"/>
              <w:left w:w="15" w:type="dxa"/>
              <w:bottom w:w="15" w:type="dxa"/>
              <w:right w:w="15" w:type="dxa"/>
            </w:tcMar>
            <w:vAlign w:val="center"/>
            <w:hideMark/>
          </w:tcPr>
          <w:p w14:paraId="657A44E4" w14:textId="77777777" w:rsidR="0074183C" w:rsidRPr="00075331" w:rsidRDefault="0074183C" w:rsidP="0074183C">
            <w:pPr>
              <w:spacing w:after="0" w:line="240" w:lineRule="auto"/>
            </w:pPr>
            <w:r w:rsidRPr="00075331">
              <w:t>consensus*.ab. /freq=2</w:t>
            </w:r>
          </w:p>
        </w:tc>
        <w:tc>
          <w:tcPr>
            <w:tcW w:w="1878" w:type="pct"/>
            <w:tcMar>
              <w:top w:w="15" w:type="dxa"/>
              <w:left w:w="15" w:type="dxa"/>
              <w:bottom w:w="15" w:type="dxa"/>
              <w:right w:w="15" w:type="dxa"/>
            </w:tcMar>
            <w:vAlign w:val="center"/>
            <w:hideMark/>
          </w:tcPr>
          <w:p w14:paraId="1EB1D119" w14:textId="77777777" w:rsidR="0074183C" w:rsidRPr="00075331" w:rsidRDefault="0074183C" w:rsidP="0074183C">
            <w:pPr>
              <w:spacing w:after="0" w:line="240" w:lineRule="auto"/>
            </w:pPr>
            <w:r w:rsidRPr="00075331">
              <w:t>39,673</w:t>
            </w:r>
          </w:p>
        </w:tc>
      </w:tr>
      <w:tr w:rsidR="0074183C" w:rsidRPr="00AB09E5" w14:paraId="6CF4B2CF" w14:textId="77777777" w:rsidTr="0074183C">
        <w:tc>
          <w:tcPr>
            <w:tcW w:w="231" w:type="pct"/>
            <w:tcMar>
              <w:top w:w="15" w:type="dxa"/>
              <w:left w:w="15" w:type="dxa"/>
              <w:bottom w:w="15" w:type="dxa"/>
              <w:right w:w="15" w:type="dxa"/>
            </w:tcMar>
            <w:vAlign w:val="center"/>
            <w:hideMark/>
          </w:tcPr>
          <w:p w14:paraId="30F4A27E" w14:textId="77777777" w:rsidR="0074183C" w:rsidRPr="00075331" w:rsidRDefault="0074183C" w:rsidP="0074183C">
            <w:pPr>
              <w:spacing w:after="0" w:line="240" w:lineRule="auto"/>
            </w:pPr>
            <w:r w:rsidRPr="00075331">
              <w:t>23</w:t>
            </w:r>
          </w:p>
        </w:tc>
        <w:tc>
          <w:tcPr>
            <w:tcW w:w="2892" w:type="pct"/>
            <w:tcMar>
              <w:top w:w="15" w:type="dxa"/>
              <w:left w:w="15" w:type="dxa"/>
              <w:bottom w:w="15" w:type="dxa"/>
              <w:right w:w="15" w:type="dxa"/>
            </w:tcMar>
            <w:vAlign w:val="center"/>
            <w:hideMark/>
          </w:tcPr>
          <w:p w14:paraId="340A910B" w14:textId="77777777" w:rsidR="0074183C" w:rsidRPr="00075331" w:rsidRDefault="0074183C" w:rsidP="0074183C">
            <w:pPr>
              <w:spacing w:after="0" w:line="240" w:lineRule="auto"/>
            </w:pPr>
            <w:r w:rsidRPr="00075331">
              <w:t>((critical or clinical or practice) adj2 (path or paths or pathway or pathways or protocol*)).ti,ab,kf,kw.</w:t>
            </w:r>
          </w:p>
        </w:tc>
        <w:tc>
          <w:tcPr>
            <w:tcW w:w="1878" w:type="pct"/>
            <w:tcMar>
              <w:top w:w="15" w:type="dxa"/>
              <w:left w:w="15" w:type="dxa"/>
              <w:bottom w:w="15" w:type="dxa"/>
              <w:right w:w="15" w:type="dxa"/>
            </w:tcMar>
            <w:vAlign w:val="center"/>
            <w:hideMark/>
          </w:tcPr>
          <w:p w14:paraId="146B2199" w14:textId="77777777" w:rsidR="0074183C" w:rsidRPr="00075331" w:rsidRDefault="0074183C" w:rsidP="0074183C">
            <w:pPr>
              <w:spacing w:after="0" w:line="240" w:lineRule="auto"/>
            </w:pPr>
            <w:r w:rsidRPr="00075331">
              <w:t>30,527</w:t>
            </w:r>
          </w:p>
        </w:tc>
      </w:tr>
      <w:tr w:rsidR="0074183C" w:rsidRPr="00AB09E5" w14:paraId="4B50EC0A" w14:textId="77777777" w:rsidTr="0074183C">
        <w:tc>
          <w:tcPr>
            <w:tcW w:w="231" w:type="pct"/>
            <w:tcMar>
              <w:top w:w="15" w:type="dxa"/>
              <w:left w:w="15" w:type="dxa"/>
              <w:bottom w:w="15" w:type="dxa"/>
              <w:right w:w="15" w:type="dxa"/>
            </w:tcMar>
            <w:vAlign w:val="center"/>
            <w:hideMark/>
          </w:tcPr>
          <w:p w14:paraId="027CB34D" w14:textId="77777777" w:rsidR="0074183C" w:rsidRPr="00075331" w:rsidRDefault="0074183C" w:rsidP="0074183C">
            <w:pPr>
              <w:spacing w:after="0" w:line="240" w:lineRule="auto"/>
            </w:pPr>
            <w:r w:rsidRPr="00075331">
              <w:t>24</w:t>
            </w:r>
          </w:p>
        </w:tc>
        <w:tc>
          <w:tcPr>
            <w:tcW w:w="2892" w:type="pct"/>
            <w:tcMar>
              <w:top w:w="15" w:type="dxa"/>
              <w:left w:w="15" w:type="dxa"/>
              <w:bottom w:w="15" w:type="dxa"/>
              <w:right w:w="15" w:type="dxa"/>
            </w:tcMar>
            <w:vAlign w:val="center"/>
            <w:hideMark/>
          </w:tcPr>
          <w:p w14:paraId="04F74D72" w14:textId="77777777" w:rsidR="0074183C" w:rsidRPr="00075331" w:rsidRDefault="0074183C" w:rsidP="0074183C">
            <w:pPr>
              <w:spacing w:after="0" w:line="240" w:lineRule="auto"/>
            </w:pPr>
            <w:r w:rsidRPr="00075331">
              <w:t>recommendat*.ti,kf,kw.</w:t>
            </w:r>
          </w:p>
        </w:tc>
        <w:tc>
          <w:tcPr>
            <w:tcW w:w="1878" w:type="pct"/>
            <w:tcMar>
              <w:top w:w="15" w:type="dxa"/>
              <w:left w:w="15" w:type="dxa"/>
              <w:bottom w:w="15" w:type="dxa"/>
              <w:right w:w="15" w:type="dxa"/>
            </w:tcMar>
            <w:vAlign w:val="center"/>
            <w:hideMark/>
          </w:tcPr>
          <w:p w14:paraId="1E62B1EF" w14:textId="77777777" w:rsidR="0074183C" w:rsidRPr="00075331" w:rsidRDefault="0074183C" w:rsidP="0074183C">
            <w:pPr>
              <w:spacing w:after="0" w:line="240" w:lineRule="auto"/>
            </w:pPr>
            <w:r w:rsidRPr="00075331">
              <w:t>60,006</w:t>
            </w:r>
          </w:p>
        </w:tc>
      </w:tr>
      <w:tr w:rsidR="0074183C" w:rsidRPr="00AB09E5" w14:paraId="2063BA74" w14:textId="77777777" w:rsidTr="0074183C">
        <w:tc>
          <w:tcPr>
            <w:tcW w:w="231" w:type="pct"/>
            <w:tcMar>
              <w:top w:w="15" w:type="dxa"/>
              <w:left w:w="15" w:type="dxa"/>
              <w:bottom w:w="15" w:type="dxa"/>
              <w:right w:w="15" w:type="dxa"/>
            </w:tcMar>
            <w:vAlign w:val="center"/>
            <w:hideMark/>
          </w:tcPr>
          <w:p w14:paraId="7A7C1E7F" w14:textId="77777777" w:rsidR="0074183C" w:rsidRPr="00075331" w:rsidRDefault="0074183C" w:rsidP="0074183C">
            <w:pPr>
              <w:spacing w:after="0" w:line="240" w:lineRule="auto"/>
            </w:pPr>
            <w:r w:rsidRPr="00075331">
              <w:t>25</w:t>
            </w:r>
          </w:p>
        </w:tc>
        <w:tc>
          <w:tcPr>
            <w:tcW w:w="2892" w:type="pct"/>
            <w:tcMar>
              <w:top w:w="15" w:type="dxa"/>
              <w:left w:w="15" w:type="dxa"/>
              <w:bottom w:w="15" w:type="dxa"/>
              <w:right w:w="15" w:type="dxa"/>
            </w:tcMar>
            <w:vAlign w:val="center"/>
            <w:hideMark/>
          </w:tcPr>
          <w:p w14:paraId="06AAF503" w14:textId="77777777" w:rsidR="0074183C" w:rsidRPr="00075331" w:rsidRDefault="0074183C" w:rsidP="0074183C">
            <w:pPr>
              <w:spacing w:after="0" w:line="240" w:lineRule="auto"/>
            </w:pPr>
            <w:r w:rsidRPr="00075331">
              <w:t>(care adj2 (standard or path or paths or pathway or pathways or map or maps or plan or plans)).ti,ab,kf,kw.</w:t>
            </w:r>
          </w:p>
        </w:tc>
        <w:tc>
          <w:tcPr>
            <w:tcW w:w="1878" w:type="pct"/>
            <w:tcMar>
              <w:top w:w="15" w:type="dxa"/>
              <w:left w:w="15" w:type="dxa"/>
              <w:bottom w:w="15" w:type="dxa"/>
              <w:right w:w="15" w:type="dxa"/>
            </w:tcMar>
            <w:vAlign w:val="center"/>
            <w:hideMark/>
          </w:tcPr>
          <w:p w14:paraId="678625C4" w14:textId="77777777" w:rsidR="0074183C" w:rsidRPr="00075331" w:rsidRDefault="0074183C" w:rsidP="0074183C">
            <w:pPr>
              <w:spacing w:after="0" w:line="240" w:lineRule="auto"/>
            </w:pPr>
            <w:r w:rsidRPr="00075331">
              <w:t>98,028</w:t>
            </w:r>
          </w:p>
        </w:tc>
      </w:tr>
      <w:tr w:rsidR="0074183C" w:rsidRPr="00AB09E5" w14:paraId="2594CC7E" w14:textId="77777777" w:rsidTr="0074183C">
        <w:tc>
          <w:tcPr>
            <w:tcW w:w="231" w:type="pct"/>
            <w:tcMar>
              <w:top w:w="15" w:type="dxa"/>
              <w:left w:w="15" w:type="dxa"/>
              <w:bottom w:w="15" w:type="dxa"/>
              <w:right w:w="15" w:type="dxa"/>
            </w:tcMar>
            <w:vAlign w:val="center"/>
            <w:hideMark/>
          </w:tcPr>
          <w:p w14:paraId="2CF4BD59" w14:textId="77777777" w:rsidR="0074183C" w:rsidRPr="00075331" w:rsidRDefault="0074183C" w:rsidP="0074183C">
            <w:pPr>
              <w:spacing w:after="0" w:line="240" w:lineRule="auto"/>
            </w:pPr>
            <w:r w:rsidRPr="00075331">
              <w:t>26</w:t>
            </w:r>
          </w:p>
        </w:tc>
        <w:tc>
          <w:tcPr>
            <w:tcW w:w="2892" w:type="pct"/>
            <w:tcMar>
              <w:top w:w="15" w:type="dxa"/>
              <w:left w:w="15" w:type="dxa"/>
              <w:bottom w:w="15" w:type="dxa"/>
              <w:right w:w="15" w:type="dxa"/>
            </w:tcMar>
            <w:vAlign w:val="center"/>
            <w:hideMark/>
          </w:tcPr>
          <w:p w14:paraId="4410C491" w14:textId="77777777" w:rsidR="0074183C" w:rsidRPr="00075331" w:rsidRDefault="0074183C" w:rsidP="0074183C">
            <w:pPr>
              <w:spacing w:after="0" w:line="240" w:lineRule="auto"/>
            </w:pPr>
            <w:r w:rsidRPr="00075331">
              <w:t>(algorithm* adj2 (screening or examination or test or tested or testing or assessment* or diagnosis or diagnoses or diagnosed or diagnosing)).ti,ab,kf,kw.</w:t>
            </w:r>
          </w:p>
        </w:tc>
        <w:tc>
          <w:tcPr>
            <w:tcW w:w="1878" w:type="pct"/>
            <w:tcMar>
              <w:top w:w="15" w:type="dxa"/>
              <w:left w:w="15" w:type="dxa"/>
              <w:bottom w:w="15" w:type="dxa"/>
              <w:right w:w="15" w:type="dxa"/>
            </w:tcMar>
            <w:vAlign w:val="center"/>
            <w:hideMark/>
          </w:tcPr>
          <w:p w14:paraId="5251C238" w14:textId="77777777" w:rsidR="0074183C" w:rsidRPr="00075331" w:rsidRDefault="0074183C" w:rsidP="0074183C">
            <w:pPr>
              <w:spacing w:after="0" w:line="240" w:lineRule="auto"/>
            </w:pPr>
            <w:r w:rsidRPr="00075331">
              <w:t>11,710</w:t>
            </w:r>
          </w:p>
        </w:tc>
      </w:tr>
      <w:tr w:rsidR="0074183C" w:rsidRPr="00AB09E5" w14:paraId="2E7D9311" w14:textId="77777777" w:rsidTr="0074183C">
        <w:tc>
          <w:tcPr>
            <w:tcW w:w="231" w:type="pct"/>
            <w:tcMar>
              <w:top w:w="15" w:type="dxa"/>
              <w:left w:w="15" w:type="dxa"/>
              <w:bottom w:w="15" w:type="dxa"/>
              <w:right w:w="15" w:type="dxa"/>
            </w:tcMar>
            <w:vAlign w:val="center"/>
            <w:hideMark/>
          </w:tcPr>
          <w:p w14:paraId="5875B1B3" w14:textId="77777777" w:rsidR="0074183C" w:rsidRPr="00075331" w:rsidRDefault="0074183C" w:rsidP="0074183C">
            <w:pPr>
              <w:spacing w:after="0" w:line="240" w:lineRule="auto"/>
            </w:pPr>
            <w:r w:rsidRPr="00075331">
              <w:t>27</w:t>
            </w:r>
          </w:p>
        </w:tc>
        <w:tc>
          <w:tcPr>
            <w:tcW w:w="2892" w:type="pct"/>
            <w:tcMar>
              <w:top w:w="15" w:type="dxa"/>
              <w:left w:w="15" w:type="dxa"/>
              <w:bottom w:w="15" w:type="dxa"/>
              <w:right w:w="15" w:type="dxa"/>
            </w:tcMar>
            <w:vAlign w:val="center"/>
            <w:hideMark/>
          </w:tcPr>
          <w:p w14:paraId="362EF526" w14:textId="77777777" w:rsidR="0074183C" w:rsidRPr="00075331" w:rsidRDefault="0074183C" w:rsidP="0074183C">
            <w:pPr>
              <w:spacing w:after="0" w:line="240" w:lineRule="auto"/>
            </w:pPr>
            <w:r w:rsidRPr="00075331">
              <w:t>(algorithm* adj2 (pharmacotherap* or chemotherap* or chemotreatment* or therap* or treatment* or intervention*)).ti,ab,kf,kw.</w:t>
            </w:r>
          </w:p>
        </w:tc>
        <w:tc>
          <w:tcPr>
            <w:tcW w:w="1878" w:type="pct"/>
            <w:tcMar>
              <w:top w:w="15" w:type="dxa"/>
              <w:left w:w="15" w:type="dxa"/>
              <w:bottom w:w="15" w:type="dxa"/>
              <w:right w:w="15" w:type="dxa"/>
            </w:tcMar>
            <w:vAlign w:val="center"/>
            <w:hideMark/>
          </w:tcPr>
          <w:p w14:paraId="427F7378" w14:textId="77777777" w:rsidR="0074183C" w:rsidRPr="00075331" w:rsidRDefault="0074183C" w:rsidP="0074183C">
            <w:pPr>
              <w:spacing w:after="0" w:line="240" w:lineRule="auto"/>
            </w:pPr>
            <w:r w:rsidRPr="00075331">
              <w:t>14,495</w:t>
            </w:r>
          </w:p>
        </w:tc>
      </w:tr>
      <w:tr w:rsidR="0074183C" w:rsidRPr="00AB09E5" w14:paraId="0FA88533" w14:textId="77777777" w:rsidTr="0074183C">
        <w:tc>
          <w:tcPr>
            <w:tcW w:w="231" w:type="pct"/>
            <w:tcMar>
              <w:top w:w="15" w:type="dxa"/>
              <w:left w:w="15" w:type="dxa"/>
              <w:bottom w:w="15" w:type="dxa"/>
              <w:right w:w="15" w:type="dxa"/>
            </w:tcMar>
            <w:vAlign w:val="center"/>
            <w:hideMark/>
          </w:tcPr>
          <w:p w14:paraId="227FD02A" w14:textId="77777777" w:rsidR="0074183C" w:rsidRPr="00075331" w:rsidRDefault="0074183C" w:rsidP="0074183C">
            <w:pPr>
              <w:spacing w:after="0" w:line="240" w:lineRule="auto"/>
            </w:pPr>
            <w:r w:rsidRPr="00075331">
              <w:t>28</w:t>
            </w:r>
          </w:p>
        </w:tc>
        <w:tc>
          <w:tcPr>
            <w:tcW w:w="2892" w:type="pct"/>
            <w:tcMar>
              <w:top w:w="15" w:type="dxa"/>
              <w:left w:w="15" w:type="dxa"/>
              <w:bottom w:w="15" w:type="dxa"/>
              <w:right w:w="15" w:type="dxa"/>
            </w:tcMar>
            <w:vAlign w:val="center"/>
            <w:hideMark/>
          </w:tcPr>
          <w:p w14:paraId="1C619EB2" w14:textId="77777777" w:rsidR="0074183C" w:rsidRPr="00075331" w:rsidRDefault="0074183C" w:rsidP="0074183C">
            <w:pPr>
              <w:spacing w:after="0" w:line="240" w:lineRule="auto"/>
            </w:pPr>
            <w:r w:rsidRPr="00075331">
              <w:t>or/7-27</w:t>
            </w:r>
          </w:p>
        </w:tc>
        <w:tc>
          <w:tcPr>
            <w:tcW w:w="1878" w:type="pct"/>
            <w:tcMar>
              <w:top w:w="15" w:type="dxa"/>
              <w:left w:w="15" w:type="dxa"/>
              <w:bottom w:w="15" w:type="dxa"/>
              <w:right w:w="15" w:type="dxa"/>
            </w:tcMar>
            <w:vAlign w:val="center"/>
            <w:hideMark/>
          </w:tcPr>
          <w:p w14:paraId="6811D86C" w14:textId="77777777" w:rsidR="0074183C" w:rsidRPr="00075331" w:rsidRDefault="0074183C" w:rsidP="0074183C">
            <w:pPr>
              <w:spacing w:after="0" w:line="240" w:lineRule="auto"/>
            </w:pPr>
            <w:r w:rsidRPr="00075331">
              <w:t>812,037</w:t>
            </w:r>
          </w:p>
        </w:tc>
      </w:tr>
      <w:tr w:rsidR="0074183C" w:rsidRPr="00AB09E5" w14:paraId="15429982" w14:textId="77777777" w:rsidTr="0074183C">
        <w:tc>
          <w:tcPr>
            <w:tcW w:w="231" w:type="pct"/>
            <w:tcMar>
              <w:top w:w="15" w:type="dxa"/>
              <w:left w:w="15" w:type="dxa"/>
              <w:bottom w:w="15" w:type="dxa"/>
              <w:right w:w="15" w:type="dxa"/>
            </w:tcMar>
            <w:vAlign w:val="center"/>
            <w:hideMark/>
          </w:tcPr>
          <w:p w14:paraId="4F0AA076" w14:textId="77777777" w:rsidR="0074183C" w:rsidRPr="00075331" w:rsidRDefault="0074183C" w:rsidP="0074183C">
            <w:pPr>
              <w:spacing w:after="0" w:line="240" w:lineRule="auto"/>
            </w:pPr>
            <w:r w:rsidRPr="00075331">
              <w:t>29</w:t>
            </w:r>
          </w:p>
        </w:tc>
        <w:tc>
          <w:tcPr>
            <w:tcW w:w="2892" w:type="pct"/>
            <w:tcMar>
              <w:top w:w="15" w:type="dxa"/>
              <w:left w:w="15" w:type="dxa"/>
              <w:bottom w:w="15" w:type="dxa"/>
              <w:right w:w="15" w:type="dxa"/>
            </w:tcMar>
            <w:vAlign w:val="center"/>
            <w:hideMark/>
          </w:tcPr>
          <w:p w14:paraId="65BAABC7" w14:textId="77777777" w:rsidR="0074183C" w:rsidRPr="00075331" w:rsidRDefault="0074183C" w:rsidP="0074183C">
            <w:pPr>
              <w:spacing w:after="0" w:line="240" w:lineRule="auto"/>
            </w:pPr>
            <w:r w:rsidRPr="00075331">
              <w:t>6 and 28</w:t>
            </w:r>
          </w:p>
        </w:tc>
        <w:tc>
          <w:tcPr>
            <w:tcW w:w="1878" w:type="pct"/>
            <w:tcMar>
              <w:top w:w="15" w:type="dxa"/>
              <w:left w:w="15" w:type="dxa"/>
              <w:bottom w:w="15" w:type="dxa"/>
              <w:right w:w="15" w:type="dxa"/>
            </w:tcMar>
            <w:vAlign w:val="center"/>
            <w:hideMark/>
          </w:tcPr>
          <w:p w14:paraId="455CD420" w14:textId="77777777" w:rsidR="0074183C" w:rsidRPr="00075331" w:rsidRDefault="0074183C" w:rsidP="0074183C">
            <w:pPr>
              <w:spacing w:after="0" w:line="240" w:lineRule="auto"/>
            </w:pPr>
            <w:r w:rsidRPr="00075331">
              <w:t>62</w:t>
            </w:r>
          </w:p>
        </w:tc>
      </w:tr>
      <w:tr w:rsidR="0074183C" w:rsidRPr="00AB09E5" w14:paraId="5C7C5841" w14:textId="77777777" w:rsidTr="0074183C">
        <w:tc>
          <w:tcPr>
            <w:tcW w:w="231" w:type="pct"/>
            <w:tcMar>
              <w:top w:w="15" w:type="dxa"/>
              <w:left w:w="15" w:type="dxa"/>
              <w:bottom w:w="15" w:type="dxa"/>
              <w:right w:w="15" w:type="dxa"/>
            </w:tcMar>
            <w:vAlign w:val="center"/>
            <w:hideMark/>
          </w:tcPr>
          <w:p w14:paraId="3707C773" w14:textId="77777777" w:rsidR="0074183C" w:rsidRPr="00075331" w:rsidRDefault="0074183C" w:rsidP="0074183C">
            <w:pPr>
              <w:spacing w:after="0" w:line="240" w:lineRule="auto"/>
            </w:pPr>
            <w:r w:rsidRPr="00075331">
              <w:t>30</w:t>
            </w:r>
          </w:p>
        </w:tc>
        <w:tc>
          <w:tcPr>
            <w:tcW w:w="2892" w:type="pct"/>
            <w:tcMar>
              <w:top w:w="15" w:type="dxa"/>
              <w:left w:w="15" w:type="dxa"/>
              <w:bottom w:w="15" w:type="dxa"/>
              <w:right w:w="15" w:type="dxa"/>
            </w:tcMar>
            <w:vAlign w:val="center"/>
            <w:hideMark/>
          </w:tcPr>
          <w:p w14:paraId="407B5B99" w14:textId="77777777" w:rsidR="0074183C" w:rsidRPr="00075331" w:rsidRDefault="0074183C" w:rsidP="0074183C">
            <w:pPr>
              <w:spacing w:after="0" w:line="240" w:lineRule="auto"/>
            </w:pPr>
            <w:r w:rsidRPr="00075331">
              <w:t>limit 29 to (english language and yr="2015 -Current")</w:t>
            </w:r>
          </w:p>
        </w:tc>
        <w:tc>
          <w:tcPr>
            <w:tcW w:w="1878" w:type="pct"/>
            <w:tcMar>
              <w:top w:w="15" w:type="dxa"/>
              <w:left w:w="15" w:type="dxa"/>
              <w:bottom w:w="15" w:type="dxa"/>
              <w:right w:w="15" w:type="dxa"/>
            </w:tcMar>
            <w:vAlign w:val="center"/>
            <w:hideMark/>
          </w:tcPr>
          <w:p w14:paraId="5775C7BC" w14:textId="77777777" w:rsidR="0074183C" w:rsidRPr="00075331" w:rsidRDefault="0074183C" w:rsidP="0074183C">
            <w:pPr>
              <w:spacing w:after="0" w:line="240" w:lineRule="auto"/>
            </w:pPr>
            <w:r w:rsidRPr="00075331">
              <w:t>32</w:t>
            </w:r>
          </w:p>
        </w:tc>
      </w:tr>
    </w:tbl>
    <w:p w14:paraId="2952911A" w14:textId="77777777" w:rsidR="0074183C" w:rsidRPr="00075331" w:rsidRDefault="0074183C" w:rsidP="0074183C"/>
    <w:p w14:paraId="5F9563F7" w14:textId="77777777" w:rsidR="0074183C" w:rsidRPr="00075331" w:rsidRDefault="0074183C" w:rsidP="0074183C"/>
    <w:p w14:paraId="15B1E90E" w14:textId="7CEE7B65" w:rsidR="003114D0" w:rsidRPr="001636EF" w:rsidRDefault="003114D0" w:rsidP="0074183C"/>
    <w:sectPr w:rsidR="003114D0" w:rsidRPr="001636EF" w:rsidSect="001F1C68">
      <w:footerReference w:type="default" r:id="rId28"/>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6647" w14:textId="77777777" w:rsidR="008A2970" w:rsidRDefault="008A2970" w:rsidP="00B15943">
      <w:r>
        <w:separator/>
      </w:r>
    </w:p>
  </w:endnote>
  <w:endnote w:type="continuationSeparator" w:id="0">
    <w:p w14:paraId="1494E74E" w14:textId="77777777" w:rsidR="008A2970" w:rsidRDefault="008A2970" w:rsidP="00B15943">
      <w:r>
        <w:continuationSeparator/>
      </w:r>
    </w:p>
  </w:endnote>
  <w:endnote w:type="continuationNotice" w:id="1">
    <w:p w14:paraId="02B84D08" w14:textId="77777777" w:rsidR="008A2970" w:rsidRDefault="008A2970"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0F0E71"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B78C" w14:textId="77777777" w:rsidR="008A2970" w:rsidRDefault="008A2970" w:rsidP="00B15943">
      <w:r>
        <w:separator/>
      </w:r>
    </w:p>
  </w:footnote>
  <w:footnote w:type="continuationSeparator" w:id="0">
    <w:p w14:paraId="1EFD90C6" w14:textId="77777777" w:rsidR="008A2970" w:rsidRDefault="008A2970" w:rsidP="00B15943">
      <w:r>
        <w:continuationSeparator/>
      </w:r>
    </w:p>
  </w:footnote>
  <w:footnote w:type="continuationNotice" w:id="1">
    <w:p w14:paraId="3FC3FAA1" w14:textId="77777777" w:rsidR="008A2970" w:rsidRDefault="008A2970"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824C6"/>
    <w:multiLevelType w:val="hybridMultilevel"/>
    <w:tmpl w:val="0222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06E28"/>
    <w:multiLevelType w:val="multilevel"/>
    <w:tmpl w:val="820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D701F"/>
    <w:multiLevelType w:val="multilevel"/>
    <w:tmpl w:val="56F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6637D"/>
    <w:multiLevelType w:val="hybridMultilevel"/>
    <w:tmpl w:val="E12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53041"/>
    <w:multiLevelType w:val="hybridMultilevel"/>
    <w:tmpl w:val="D8C2208C"/>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1E5585C"/>
    <w:multiLevelType w:val="hybridMultilevel"/>
    <w:tmpl w:val="1CC2C7E6"/>
    <w:lvl w:ilvl="0" w:tplc="0809000F">
      <w:start w:val="1"/>
      <w:numFmt w:val="decimal"/>
      <w:lvlText w:val="%1."/>
      <w:lvlJc w:val="left"/>
      <w:pPr>
        <w:ind w:left="360" w:hanging="360"/>
      </w:pPr>
    </w:lvl>
    <w:lvl w:ilvl="1" w:tplc="37762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568"/>
    <w:multiLevelType w:val="hybridMultilevel"/>
    <w:tmpl w:val="633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82953"/>
    <w:multiLevelType w:val="hybridMultilevel"/>
    <w:tmpl w:val="55B471A8"/>
    <w:lvl w:ilvl="0" w:tplc="5E64AA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1E5F1C"/>
    <w:multiLevelType w:val="multilevel"/>
    <w:tmpl w:val="F2BA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706E6"/>
    <w:multiLevelType w:val="hybridMultilevel"/>
    <w:tmpl w:val="8138B6AA"/>
    <w:lvl w:ilvl="0" w:tplc="21C4DCC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F758F6"/>
    <w:multiLevelType w:val="hybridMultilevel"/>
    <w:tmpl w:val="D5968DEE"/>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6A21E90"/>
    <w:multiLevelType w:val="hybridMultilevel"/>
    <w:tmpl w:val="5184873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8D0EED"/>
    <w:multiLevelType w:val="multilevel"/>
    <w:tmpl w:val="92D0D2B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DA7573"/>
    <w:multiLevelType w:val="hybridMultilevel"/>
    <w:tmpl w:val="10C6FC0E"/>
    <w:lvl w:ilvl="0" w:tplc="08090019">
      <w:start w:val="1"/>
      <w:numFmt w:val="lowerLetter"/>
      <w:lvlText w:val="%1."/>
      <w:lvlJc w:val="left"/>
      <w:pPr>
        <w:ind w:left="720" w:hanging="360"/>
      </w:pPr>
      <w:rPr>
        <w:rFonts w:hint="default"/>
      </w:rPr>
    </w:lvl>
    <w:lvl w:ilvl="1" w:tplc="643E28F0">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4"/>
  </w:num>
  <w:num w:numId="2" w16cid:durableId="1527985751">
    <w:abstractNumId w:val="4"/>
  </w:num>
  <w:num w:numId="3" w16cid:durableId="1495803962">
    <w:abstractNumId w:val="22"/>
  </w:num>
  <w:num w:numId="4" w16cid:durableId="37054411">
    <w:abstractNumId w:val="7"/>
  </w:num>
  <w:num w:numId="5" w16cid:durableId="1352224519">
    <w:abstractNumId w:val="1"/>
  </w:num>
  <w:num w:numId="6" w16cid:durableId="1513180185">
    <w:abstractNumId w:val="14"/>
  </w:num>
  <w:num w:numId="7" w16cid:durableId="865288434">
    <w:abstractNumId w:val="26"/>
  </w:num>
  <w:num w:numId="8" w16cid:durableId="1368263986">
    <w:abstractNumId w:val="45"/>
  </w:num>
  <w:num w:numId="9" w16cid:durableId="1350370947">
    <w:abstractNumId w:val="0"/>
  </w:num>
  <w:num w:numId="10" w16cid:durableId="1966353602">
    <w:abstractNumId w:val="29"/>
  </w:num>
  <w:num w:numId="11" w16cid:durableId="895706082">
    <w:abstractNumId w:val="9"/>
  </w:num>
  <w:num w:numId="12" w16cid:durableId="1455442445">
    <w:abstractNumId w:val="3"/>
  </w:num>
  <w:num w:numId="13" w16cid:durableId="1732464256">
    <w:abstractNumId w:val="27"/>
  </w:num>
  <w:num w:numId="14" w16cid:durableId="632518719">
    <w:abstractNumId w:val="37"/>
  </w:num>
  <w:num w:numId="15" w16cid:durableId="198973636">
    <w:abstractNumId w:val="34"/>
  </w:num>
  <w:num w:numId="16" w16cid:durableId="624001020">
    <w:abstractNumId w:val="44"/>
  </w:num>
  <w:num w:numId="17" w16cid:durableId="138622115">
    <w:abstractNumId w:val="6"/>
  </w:num>
  <w:num w:numId="18" w16cid:durableId="1441493233">
    <w:abstractNumId w:val="21"/>
  </w:num>
  <w:num w:numId="19" w16cid:durableId="1806654529">
    <w:abstractNumId w:val="32"/>
  </w:num>
  <w:num w:numId="20" w16cid:durableId="595938722">
    <w:abstractNumId w:val="2"/>
  </w:num>
  <w:num w:numId="21" w16cid:durableId="564730547">
    <w:abstractNumId w:val="36"/>
  </w:num>
  <w:num w:numId="22" w16cid:durableId="553584257">
    <w:abstractNumId w:val="19"/>
  </w:num>
  <w:num w:numId="23" w16cid:durableId="704253600">
    <w:abstractNumId w:val="15"/>
  </w:num>
  <w:num w:numId="24" w16cid:durableId="1040856931">
    <w:abstractNumId w:val="13"/>
  </w:num>
  <w:num w:numId="25" w16cid:durableId="1056049112">
    <w:abstractNumId w:val="41"/>
  </w:num>
  <w:num w:numId="26" w16cid:durableId="1818255019">
    <w:abstractNumId w:val="23"/>
  </w:num>
  <w:num w:numId="27" w16cid:durableId="1345398754">
    <w:abstractNumId w:val="5"/>
  </w:num>
  <w:num w:numId="28" w16cid:durableId="1301105859">
    <w:abstractNumId w:val="8"/>
  </w:num>
  <w:num w:numId="29" w16cid:durableId="445394976">
    <w:abstractNumId w:val="35"/>
  </w:num>
  <w:num w:numId="30" w16cid:durableId="1966498424">
    <w:abstractNumId w:val="31"/>
  </w:num>
  <w:num w:numId="31" w16cid:durableId="1926182332">
    <w:abstractNumId w:val="20"/>
  </w:num>
  <w:num w:numId="32" w16cid:durableId="1799296356">
    <w:abstractNumId w:val="30"/>
  </w:num>
  <w:num w:numId="33" w16cid:durableId="36860523">
    <w:abstractNumId w:val="25"/>
  </w:num>
  <w:num w:numId="34" w16cid:durableId="405692322">
    <w:abstractNumId w:val="10"/>
  </w:num>
  <w:num w:numId="35" w16cid:durableId="1490099626">
    <w:abstractNumId w:val="16"/>
  </w:num>
  <w:num w:numId="36" w16cid:durableId="1204513833">
    <w:abstractNumId w:val="11"/>
  </w:num>
  <w:num w:numId="37" w16cid:durableId="208960125">
    <w:abstractNumId w:val="33"/>
  </w:num>
  <w:num w:numId="38" w16cid:durableId="306666060">
    <w:abstractNumId w:val="12"/>
  </w:num>
  <w:num w:numId="39" w16cid:durableId="1364090969">
    <w:abstractNumId w:val="42"/>
  </w:num>
  <w:num w:numId="40" w16cid:durableId="436872617">
    <w:abstractNumId w:val="43"/>
  </w:num>
  <w:num w:numId="41" w16cid:durableId="2099372">
    <w:abstractNumId w:val="40"/>
  </w:num>
  <w:num w:numId="42" w16cid:durableId="828136034">
    <w:abstractNumId w:val="39"/>
  </w:num>
  <w:num w:numId="43" w16cid:durableId="1662805823">
    <w:abstractNumId w:val="18"/>
  </w:num>
  <w:num w:numId="44" w16cid:durableId="1110733972">
    <w:abstractNumId w:val="28"/>
  </w:num>
  <w:num w:numId="45" w16cid:durableId="1564683431">
    <w:abstractNumId w:val="17"/>
  </w:num>
  <w:num w:numId="46" w16cid:durableId="20110629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3621"/>
    <w:rsid w:val="0002622F"/>
    <w:rsid w:val="00030406"/>
    <w:rsid w:val="00032238"/>
    <w:rsid w:val="00037D2C"/>
    <w:rsid w:val="00041337"/>
    <w:rsid w:val="000417C9"/>
    <w:rsid w:val="00047689"/>
    <w:rsid w:val="00047A34"/>
    <w:rsid w:val="00052073"/>
    <w:rsid w:val="00052939"/>
    <w:rsid w:val="000611B2"/>
    <w:rsid w:val="00061E20"/>
    <w:rsid w:val="00062D66"/>
    <w:rsid w:val="00062F6D"/>
    <w:rsid w:val="00064AF9"/>
    <w:rsid w:val="00072F9E"/>
    <w:rsid w:val="000730C4"/>
    <w:rsid w:val="00074646"/>
    <w:rsid w:val="00075F6A"/>
    <w:rsid w:val="0008022E"/>
    <w:rsid w:val="000906B0"/>
    <w:rsid w:val="000919B2"/>
    <w:rsid w:val="000956B3"/>
    <w:rsid w:val="000968FC"/>
    <w:rsid w:val="0009702A"/>
    <w:rsid w:val="000A0BF8"/>
    <w:rsid w:val="000A3BC5"/>
    <w:rsid w:val="000A4002"/>
    <w:rsid w:val="000B22DF"/>
    <w:rsid w:val="000B27B0"/>
    <w:rsid w:val="000B2FFA"/>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0E71"/>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49A5"/>
    <w:rsid w:val="00131C09"/>
    <w:rsid w:val="001357C4"/>
    <w:rsid w:val="0013581B"/>
    <w:rsid w:val="00135D72"/>
    <w:rsid w:val="001374D7"/>
    <w:rsid w:val="00144E36"/>
    <w:rsid w:val="00145960"/>
    <w:rsid w:val="00145F4F"/>
    <w:rsid w:val="001475F8"/>
    <w:rsid w:val="00150B2C"/>
    <w:rsid w:val="00156B90"/>
    <w:rsid w:val="00157BDB"/>
    <w:rsid w:val="0016310D"/>
    <w:rsid w:val="001636EF"/>
    <w:rsid w:val="00165F1B"/>
    <w:rsid w:val="001662E1"/>
    <w:rsid w:val="001702E1"/>
    <w:rsid w:val="00173D05"/>
    <w:rsid w:val="0017549E"/>
    <w:rsid w:val="00176E10"/>
    <w:rsid w:val="00180A35"/>
    <w:rsid w:val="00183DA4"/>
    <w:rsid w:val="0018550E"/>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D79D6"/>
    <w:rsid w:val="001E15AF"/>
    <w:rsid w:val="001E4984"/>
    <w:rsid w:val="001F1C68"/>
    <w:rsid w:val="001F4F4F"/>
    <w:rsid w:val="00200ACB"/>
    <w:rsid w:val="002024C7"/>
    <w:rsid w:val="0020513F"/>
    <w:rsid w:val="0020606A"/>
    <w:rsid w:val="0020687B"/>
    <w:rsid w:val="00210E82"/>
    <w:rsid w:val="002155DF"/>
    <w:rsid w:val="002158A0"/>
    <w:rsid w:val="0021677C"/>
    <w:rsid w:val="002173C6"/>
    <w:rsid w:val="00221DE0"/>
    <w:rsid w:val="002240E9"/>
    <w:rsid w:val="0022452E"/>
    <w:rsid w:val="0022525B"/>
    <w:rsid w:val="00226DC1"/>
    <w:rsid w:val="002404CF"/>
    <w:rsid w:val="00240CB6"/>
    <w:rsid w:val="00243FD2"/>
    <w:rsid w:val="00244A86"/>
    <w:rsid w:val="002544FA"/>
    <w:rsid w:val="00254AF2"/>
    <w:rsid w:val="0026000B"/>
    <w:rsid w:val="00260D8B"/>
    <w:rsid w:val="00262550"/>
    <w:rsid w:val="00262788"/>
    <w:rsid w:val="002639D4"/>
    <w:rsid w:val="00264EA2"/>
    <w:rsid w:val="00267304"/>
    <w:rsid w:val="002709FF"/>
    <w:rsid w:val="00272C72"/>
    <w:rsid w:val="00273963"/>
    <w:rsid w:val="00274161"/>
    <w:rsid w:val="00275424"/>
    <w:rsid w:val="002766B9"/>
    <w:rsid w:val="002827C1"/>
    <w:rsid w:val="00282E5C"/>
    <w:rsid w:val="00291198"/>
    <w:rsid w:val="00296F89"/>
    <w:rsid w:val="00297312"/>
    <w:rsid w:val="002A0EF4"/>
    <w:rsid w:val="002A1CB6"/>
    <w:rsid w:val="002A70D7"/>
    <w:rsid w:val="002C0C3B"/>
    <w:rsid w:val="002C158C"/>
    <w:rsid w:val="002C1711"/>
    <w:rsid w:val="002C570D"/>
    <w:rsid w:val="002C702D"/>
    <w:rsid w:val="002D398F"/>
    <w:rsid w:val="002D5E8A"/>
    <w:rsid w:val="002E0181"/>
    <w:rsid w:val="002E3B80"/>
    <w:rsid w:val="002E6A28"/>
    <w:rsid w:val="002F3023"/>
    <w:rsid w:val="002F3BC4"/>
    <w:rsid w:val="00303551"/>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5C1F"/>
    <w:rsid w:val="00351EDD"/>
    <w:rsid w:val="00352686"/>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3F746C"/>
    <w:rsid w:val="00400565"/>
    <w:rsid w:val="00402168"/>
    <w:rsid w:val="00403A71"/>
    <w:rsid w:val="00404415"/>
    <w:rsid w:val="00404874"/>
    <w:rsid w:val="00405A25"/>
    <w:rsid w:val="004061D0"/>
    <w:rsid w:val="00410628"/>
    <w:rsid w:val="00410DFC"/>
    <w:rsid w:val="00410F7A"/>
    <w:rsid w:val="00411397"/>
    <w:rsid w:val="004127A0"/>
    <w:rsid w:val="00417851"/>
    <w:rsid w:val="004257A2"/>
    <w:rsid w:val="00426140"/>
    <w:rsid w:val="00427D44"/>
    <w:rsid w:val="0043105A"/>
    <w:rsid w:val="00436F3E"/>
    <w:rsid w:val="00446523"/>
    <w:rsid w:val="004470EE"/>
    <w:rsid w:val="00451196"/>
    <w:rsid w:val="0045193E"/>
    <w:rsid w:val="00451DAC"/>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0438"/>
    <w:rsid w:val="004938F5"/>
    <w:rsid w:val="00494BC6"/>
    <w:rsid w:val="004951D9"/>
    <w:rsid w:val="00496B74"/>
    <w:rsid w:val="00497312"/>
    <w:rsid w:val="004A028F"/>
    <w:rsid w:val="004A0CDB"/>
    <w:rsid w:val="004A70FE"/>
    <w:rsid w:val="004B2AD7"/>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668C"/>
    <w:rsid w:val="004E6ED2"/>
    <w:rsid w:val="004F0B68"/>
    <w:rsid w:val="004F181A"/>
    <w:rsid w:val="004F2BCE"/>
    <w:rsid w:val="004F2DB8"/>
    <w:rsid w:val="004F40A3"/>
    <w:rsid w:val="005023C7"/>
    <w:rsid w:val="00503B38"/>
    <w:rsid w:val="005103DF"/>
    <w:rsid w:val="00511CC9"/>
    <w:rsid w:val="005128BE"/>
    <w:rsid w:val="005128D3"/>
    <w:rsid w:val="00513AAB"/>
    <w:rsid w:val="00513ECA"/>
    <w:rsid w:val="0051604C"/>
    <w:rsid w:val="00517EEB"/>
    <w:rsid w:val="00525AEF"/>
    <w:rsid w:val="00531ABB"/>
    <w:rsid w:val="0053428A"/>
    <w:rsid w:val="005374A1"/>
    <w:rsid w:val="0054214F"/>
    <w:rsid w:val="00542A87"/>
    <w:rsid w:val="00544114"/>
    <w:rsid w:val="00547272"/>
    <w:rsid w:val="005524E9"/>
    <w:rsid w:val="00554057"/>
    <w:rsid w:val="00554C79"/>
    <w:rsid w:val="00557547"/>
    <w:rsid w:val="00564794"/>
    <w:rsid w:val="00564D92"/>
    <w:rsid w:val="00571792"/>
    <w:rsid w:val="005730D2"/>
    <w:rsid w:val="00573A0C"/>
    <w:rsid w:val="005748EB"/>
    <w:rsid w:val="00577375"/>
    <w:rsid w:val="00577C00"/>
    <w:rsid w:val="005806B8"/>
    <w:rsid w:val="00582CD2"/>
    <w:rsid w:val="00586A66"/>
    <w:rsid w:val="00587134"/>
    <w:rsid w:val="005871AC"/>
    <w:rsid w:val="00587496"/>
    <w:rsid w:val="005924AA"/>
    <w:rsid w:val="00594BC4"/>
    <w:rsid w:val="00595823"/>
    <w:rsid w:val="005964B2"/>
    <w:rsid w:val="005A1524"/>
    <w:rsid w:val="005A3E12"/>
    <w:rsid w:val="005A79EC"/>
    <w:rsid w:val="005B30C0"/>
    <w:rsid w:val="005B3261"/>
    <w:rsid w:val="005B3442"/>
    <w:rsid w:val="005B60A3"/>
    <w:rsid w:val="005B72E4"/>
    <w:rsid w:val="005C13E1"/>
    <w:rsid w:val="005C35C4"/>
    <w:rsid w:val="005C67FF"/>
    <w:rsid w:val="005D4028"/>
    <w:rsid w:val="005D4569"/>
    <w:rsid w:val="005E13D7"/>
    <w:rsid w:val="005E2DE4"/>
    <w:rsid w:val="005E406A"/>
    <w:rsid w:val="005F5066"/>
    <w:rsid w:val="005F636F"/>
    <w:rsid w:val="005F6FDC"/>
    <w:rsid w:val="00600482"/>
    <w:rsid w:val="00602828"/>
    <w:rsid w:val="00602EAC"/>
    <w:rsid w:val="00605919"/>
    <w:rsid w:val="00606B87"/>
    <w:rsid w:val="00607698"/>
    <w:rsid w:val="00611333"/>
    <w:rsid w:val="006124A6"/>
    <w:rsid w:val="00614497"/>
    <w:rsid w:val="00616FED"/>
    <w:rsid w:val="00621020"/>
    <w:rsid w:val="00621DA4"/>
    <w:rsid w:val="00630BA1"/>
    <w:rsid w:val="00631257"/>
    <w:rsid w:val="0063159E"/>
    <w:rsid w:val="00633132"/>
    <w:rsid w:val="006453A2"/>
    <w:rsid w:val="00646B3F"/>
    <w:rsid w:val="00647160"/>
    <w:rsid w:val="00651A43"/>
    <w:rsid w:val="006533D5"/>
    <w:rsid w:val="00657D2C"/>
    <w:rsid w:val="00660B2D"/>
    <w:rsid w:val="006619C6"/>
    <w:rsid w:val="00662ACF"/>
    <w:rsid w:val="00665F36"/>
    <w:rsid w:val="00666514"/>
    <w:rsid w:val="00673B17"/>
    <w:rsid w:val="0068048C"/>
    <w:rsid w:val="00680AC1"/>
    <w:rsid w:val="00681889"/>
    <w:rsid w:val="006845A7"/>
    <w:rsid w:val="0068660C"/>
    <w:rsid w:val="00687E42"/>
    <w:rsid w:val="00692EE7"/>
    <w:rsid w:val="0069417A"/>
    <w:rsid w:val="00694F4B"/>
    <w:rsid w:val="00696AD3"/>
    <w:rsid w:val="00697099"/>
    <w:rsid w:val="00697119"/>
    <w:rsid w:val="00697D3D"/>
    <w:rsid w:val="006A4DB4"/>
    <w:rsid w:val="006A4F43"/>
    <w:rsid w:val="006A7330"/>
    <w:rsid w:val="006B12B1"/>
    <w:rsid w:val="006C2A59"/>
    <w:rsid w:val="006C706A"/>
    <w:rsid w:val="006D3557"/>
    <w:rsid w:val="006D49BE"/>
    <w:rsid w:val="006D729D"/>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183C"/>
    <w:rsid w:val="00743F4B"/>
    <w:rsid w:val="00744D45"/>
    <w:rsid w:val="00745160"/>
    <w:rsid w:val="00745956"/>
    <w:rsid w:val="0074718E"/>
    <w:rsid w:val="0074775C"/>
    <w:rsid w:val="00747AFA"/>
    <w:rsid w:val="00753E21"/>
    <w:rsid w:val="00760C07"/>
    <w:rsid w:val="00761766"/>
    <w:rsid w:val="0076176A"/>
    <w:rsid w:val="00762D51"/>
    <w:rsid w:val="0076396F"/>
    <w:rsid w:val="007644BD"/>
    <w:rsid w:val="00767900"/>
    <w:rsid w:val="00767F94"/>
    <w:rsid w:val="007704C8"/>
    <w:rsid w:val="0077167E"/>
    <w:rsid w:val="0077417B"/>
    <w:rsid w:val="00774F55"/>
    <w:rsid w:val="00776E21"/>
    <w:rsid w:val="00781B52"/>
    <w:rsid w:val="00782201"/>
    <w:rsid w:val="00783323"/>
    <w:rsid w:val="00785D9C"/>
    <w:rsid w:val="007863DF"/>
    <w:rsid w:val="00787C09"/>
    <w:rsid w:val="00795327"/>
    <w:rsid w:val="007979BF"/>
    <w:rsid w:val="007A05A8"/>
    <w:rsid w:val="007A2A51"/>
    <w:rsid w:val="007A2E13"/>
    <w:rsid w:val="007A5CDF"/>
    <w:rsid w:val="007A7178"/>
    <w:rsid w:val="007B0ABA"/>
    <w:rsid w:val="007B3938"/>
    <w:rsid w:val="007C09FF"/>
    <w:rsid w:val="007C0F53"/>
    <w:rsid w:val="007C5DEF"/>
    <w:rsid w:val="007D7ACF"/>
    <w:rsid w:val="007E0178"/>
    <w:rsid w:val="007E03EA"/>
    <w:rsid w:val="007E16EE"/>
    <w:rsid w:val="007E4D6B"/>
    <w:rsid w:val="00804116"/>
    <w:rsid w:val="00804363"/>
    <w:rsid w:val="00806325"/>
    <w:rsid w:val="008121AF"/>
    <w:rsid w:val="008121C3"/>
    <w:rsid w:val="00812372"/>
    <w:rsid w:val="0081271B"/>
    <w:rsid w:val="0081414A"/>
    <w:rsid w:val="00817B1D"/>
    <w:rsid w:val="00822348"/>
    <w:rsid w:val="00822F24"/>
    <w:rsid w:val="00822F50"/>
    <w:rsid w:val="00823026"/>
    <w:rsid w:val="00831C19"/>
    <w:rsid w:val="00835B41"/>
    <w:rsid w:val="00836141"/>
    <w:rsid w:val="00837B89"/>
    <w:rsid w:val="00842994"/>
    <w:rsid w:val="00843F43"/>
    <w:rsid w:val="00845158"/>
    <w:rsid w:val="008500C0"/>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C2B"/>
    <w:rsid w:val="008B11E2"/>
    <w:rsid w:val="008B1DD1"/>
    <w:rsid w:val="008B3413"/>
    <w:rsid w:val="008B578C"/>
    <w:rsid w:val="008C2164"/>
    <w:rsid w:val="008C30D7"/>
    <w:rsid w:val="008C4542"/>
    <w:rsid w:val="008C5333"/>
    <w:rsid w:val="008D32EB"/>
    <w:rsid w:val="008D55D2"/>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593B"/>
    <w:rsid w:val="00956572"/>
    <w:rsid w:val="00957CE7"/>
    <w:rsid w:val="009628DA"/>
    <w:rsid w:val="0096598E"/>
    <w:rsid w:val="0096627F"/>
    <w:rsid w:val="009674BD"/>
    <w:rsid w:val="00970A75"/>
    <w:rsid w:val="0097143C"/>
    <w:rsid w:val="00975564"/>
    <w:rsid w:val="009770C1"/>
    <w:rsid w:val="0098199F"/>
    <w:rsid w:val="0098667B"/>
    <w:rsid w:val="00987440"/>
    <w:rsid w:val="009900DE"/>
    <w:rsid w:val="0099169F"/>
    <w:rsid w:val="00992D19"/>
    <w:rsid w:val="0099492E"/>
    <w:rsid w:val="00996194"/>
    <w:rsid w:val="009A5CD8"/>
    <w:rsid w:val="009B0B7C"/>
    <w:rsid w:val="009B7F99"/>
    <w:rsid w:val="009C007A"/>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E11"/>
    <w:rsid w:val="00A11920"/>
    <w:rsid w:val="00A26312"/>
    <w:rsid w:val="00A26FF1"/>
    <w:rsid w:val="00A27B3E"/>
    <w:rsid w:val="00A30A0D"/>
    <w:rsid w:val="00A30A26"/>
    <w:rsid w:val="00A30D1B"/>
    <w:rsid w:val="00A30E3E"/>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76C"/>
    <w:rsid w:val="00AE0894"/>
    <w:rsid w:val="00AE0B39"/>
    <w:rsid w:val="00AE0BF8"/>
    <w:rsid w:val="00AE1130"/>
    <w:rsid w:val="00AE3A95"/>
    <w:rsid w:val="00AE3D38"/>
    <w:rsid w:val="00AE637F"/>
    <w:rsid w:val="00AE7B08"/>
    <w:rsid w:val="00AF35DF"/>
    <w:rsid w:val="00AF6422"/>
    <w:rsid w:val="00AF661E"/>
    <w:rsid w:val="00AF6BB1"/>
    <w:rsid w:val="00AF7120"/>
    <w:rsid w:val="00B002A5"/>
    <w:rsid w:val="00B00CDB"/>
    <w:rsid w:val="00B02738"/>
    <w:rsid w:val="00B0548B"/>
    <w:rsid w:val="00B057F7"/>
    <w:rsid w:val="00B12D58"/>
    <w:rsid w:val="00B1581D"/>
    <w:rsid w:val="00B15943"/>
    <w:rsid w:val="00B21801"/>
    <w:rsid w:val="00B21B9C"/>
    <w:rsid w:val="00B23662"/>
    <w:rsid w:val="00B27107"/>
    <w:rsid w:val="00B273BA"/>
    <w:rsid w:val="00B32597"/>
    <w:rsid w:val="00B37ED8"/>
    <w:rsid w:val="00B4162A"/>
    <w:rsid w:val="00B41EB4"/>
    <w:rsid w:val="00B44705"/>
    <w:rsid w:val="00B44BCC"/>
    <w:rsid w:val="00B45296"/>
    <w:rsid w:val="00B47C7F"/>
    <w:rsid w:val="00B512F2"/>
    <w:rsid w:val="00B52F1B"/>
    <w:rsid w:val="00B54295"/>
    <w:rsid w:val="00B552FA"/>
    <w:rsid w:val="00B55E22"/>
    <w:rsid w:val="00B64BF5"/>
    <w:rsid w:val="00B673A6"/>
    <w:rsid w:val="00B706A9"/>
    <w:rsid w:val="00B72D35"/>
    <w:rsid w:val="00B72FF9"/>
    <w:rsid w:val="00B80C12"/>
    <w:rsid w:val="00B81DE0"/>
    <w:rsid w:val="00B824CE"/>
    <w:rsid w:val="00B843C0"/>
    <w:rsid w:val="00B876E6"/>
    <w:rsid w:val="00B87B03"/>
    <w:rsid w:val="00B918B0"/>
    <w:rsid w:val="00B91AEB"/>
    <w:rsid w:val="00B92E75"/>
    <w:rsid w:val="00B93B66"/>
    <w:rsid w:val="00B961EC"/>
    <w:rsid w:val="00B9715C"/>
    <w:rsid w:val="00BA09B8"/>
    <w:rsid w:val="00BB2E75"/>
    <w:rsid w:val="00BB4C73"/>
    <w:rsid w:val="00BB5FD0"/>
    <w:rsid w:val="00BB71AB"/>
    <w:rsid w:val="00BC046F"/>
    <w:rsid w:val="00BC6162"/>
    <w:rsid w:val="00BC74D9"/>
    <w:rsid w:val="00BD00C4"/>
    <w:rsid w:val="00BD0528"/>
    <w:rsid w:val="00BD0F79"/>
    <w:rsid w:val="00BD378C"/>
    <w:rsid w:val="00BE0471"/>
    <w:rsid w:val="00BE2B22"/>
    <w:rsid w:val="00BE2ED8"/>
    <w:rsid w:val="00BE76F0"/>
    <w:rsid w:val="00BF1733"/>
    <w:rsid w:val="00BF1B1A"/>
    <w:rsid w:val="00BF2FE8"/>
    <w:rsid w:val="00C0144C"/>
    <w:rsid w:val="00C01522"/>
    <w:rsid w:val="00C07B85"/>
    <w:rsid w:val="00C154B3"/>
    <w:rsid w:val="00C16FF1"/>
    <w:rsid w:val="00C22497"/>
    <w:rsid w:val="00C22C1E"/>
    <w:rsid w:val="00C23BE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96B5F"/>
    <w:rsid w:val="00CA1AF7"/>
    <w:rsid w:val="00CA60C8"/>
    <w:rsid w:val="00CA691F"/>
    <w:rsid w:val="00CA7A26"/>
    <w:rsid w:val="00CB16A5"/>
    <w:rsid w:val="00CB1F43"/>
    <w:rsid w:val="00CB3895"/>
    <w:rsid w:val="00CB4474"/>
    <w:rsid w:val="00CB4D12"/>
    <w:rsid w:val="00CB7C02"/>
    <w:rsid w:val="00CC2573"/>
    <w:rsid w:val="00CC61AD"/>
    <w:rsid w:val="00CD1F6C"/>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8135D"/>
    <w:rsid w:val="00D8781F"/>
    <w:rsid w:val="00D96514"/>
    <w:rsid w:val="00D966C0"/>
    <w:rsid w:val="00D969F0"/>
    <w:rsid w:val="00D96A6B"/>
    <w:rsid w:val="00DA2813"/>
    <w:rsid w:val="00DA3FA4"/>
    <w:rsid w:val="00DA41F1"/>
    <w:rsid w:val="00DB1DD6"/>
    <w:rsid w:val="00DB210D"/>
    <w:rsid w:val="00DB4D0F"/>
    <w:rsid w:val="00DB5DE3"/>
    <w:rsid w:val="00DB624D"/>
    <w:rsid w:val="00DC1ECA"/>
    <w:rsid w:val="00DC6CD7"/>
    <w:rsid w:val="00DC735D"/>
    <w:rsid w:val="00DD0321"/>
    <w:rsid w:val="00DD22CE"/>
    <w:rsid w:val="00DD392B"/>
    <w:rsid w:val="00DD4625"/>
    <w:rsid w:val="00DD63C2"/>
    <w:rsid w:val="00DE3B13"/>
    <w:rsid w:val="00DE43A4"/>
    <w:rsid w:val="00DE6762"/>
    <w:rsid w:val="00DF20EC"/>
    <w:rsid w:val="00DF39A7"/>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41A6"/>
    <w:rsid w:val="00E344E1"/>
    <w:rsid w:val="00E345E4"/>
    <w:rsid w:val="00E36873"/>
    <w:rsid w:val="00E42A37"/>
    <w:rsid w:val="00E45047"/>
    <w:rsid w:val="00E516C9"/>
    <w:rsid w:val="00E63B75"/>
    <w:rsid w:val="00E70AA2"/>
    <w:rsid w:val="00E710CB"/>
    <w:rsid w:val="00E7550C"/>
    <w:rsid w:val="00E75CCF"/>
    <w:rsid w:val="00E808D5"/>
    <w:rsid w:val="00E8107A"/>
    <w:rsid w:val="00E815E7"/>
    <w:rsid w:val="00E83766"/>
    <w:rsid w:val="00E841AF"/>
    <w:rsid w:val="00E91B14"/>
    <w:rsid w:val="00E96631"/>
    <w:rsid w:val="00EA4068"/>
    <w:rsid w:val="00EA4934"/>
    <w:rsid w:val="00EB159C"/>
    <w:rsid w:val="00EB239A"/>
    <w:rsid w:val="00EB3D0A"/>
    <w:rsid w:val="00EB5226"/>
    <w:rsid w:val="00EB620C"/>
    <w:rsid w:val="00EB67CE"/>
    <w:rsid w:val="00EB7C90"/>
    <w:rsid w:val="00EC157C"/>
    <w:rsid w:val="00EC4C4B"/>
    <w:rsid w:val="00EC5B2F"/>
    <w:rsid w:val="00EC7926"/>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2904"/>
    <w:rsid w:val="00F36061"/>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517"/>
    <w:rsid w:val="00F64CA8"/>
    <w:rsid w:val="00F64D86"/>
    <w:rsid w:val="00F72009"/>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erbyshiremedicinesmanagement.nhs.uk/assets/Clinical-Policies/Clinical_Policies/Cosmetic/cosmetic/Blepharoplasty.pdf" TargetMode="External"/><Relationship Id="rId26" Type="http://schemas.openxmlformats.org/officeDocument/2006/relationships/hyperlink" Target="https://doi.org/10.1097/prs.0000000000009329" TargetMode="External"/><Relationship Id="rId3" Type="http://schemas.openxmlformats.org/officeDocument/2006/relationships/customXml" Target="../customXml/item3.xml"/><Relationship Id="rId21" Type="http://schemas.openxmlformats.org/officeDocument/2006/relationships/hyperlink" Target="https://doi.org/10.1016/j.bjps.2018.11.01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nssg.icb.nhs.uk/wp-content/uploads/2017/04/Blepharoplasty-Brow-lift.pdf" TargetMode="External"/><Relationship Id="rId25" Type="http://schemas.openxmlformats.org/officeDocument/2006/relationships/hyperlink" Target="https://doi.org/10.1016/j.joms.2017.01.025"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richtlijnendatabase.nl/richtlijn/chirurgische_correctie_blepharo-_dermatochalasis_blepharoptosis_en_wenkbrauwptosis/startpagina_-_periorbitale_chirurgi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93/asj/sjad034"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oi.org/10.3390/ijerph2002155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doc/guidelines-for-medical-necessity-determination-for-blepharoplasty-upper-eyelid-ptosis-and-brow-ptosis-surgery/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oi.org/10.3390/medicina60030500" TargetMode="External"/><Relationship Id="rId27" Type="http://schemas.openxmlformats.org/officeDocument/2006/relationships/hyperlink" Target="https://doi.org/10.1097/iop.000000000000262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Props1.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2.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4.xml><?xml version="1.0" encoding="utf-8"?>
<ds:datastoreItem xmlns:ds="http://schemas.openxmlformats.org/officeDocument/2006/customXml" ds:itemID="{55644238-EF26-4AEA-A9B7-2EE8519FCAFE}">
  <ds:schemaRefs>
    <ds:schemaRef ds:uri="http://schemas.microsoft.com/office/infopath/2007/PartnerControls"/>
    <ds:schemaRef ds:uri="c03657d8-15a2-4c46-bd5d-c19a21016eda"/>
    <ds:schemaRef ds:uri="http://schemas.microsoft.com/office/2006/documentManagement/types"/>
    <ds:schemaRef ds:uri="http://purl.org/dc/terms/"/>
    <ds:schemaRef ds:uri="54d1c5b6-be05-4bbd-bcf7-747edf3e0227"/>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2312</Words>
  <Characters>16464</Characters>
  <Application>Microsoft Office Word</Application>
  <DocSecurity>0</DocSecurity>
  <PresentationFormat/>
  <Lines>137</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18739</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3</cp:revision>
  <cp:lastPrinted>1900-01-01T00:00:00Z</cp:lastPrinted>
  <dcterms:created xsi:type="dcterms:W3CDTF">2025-05-13T16:57:00Z</dcterms:created>
  <dcterms:modified xsi:type="dcterms:W3CDTF">2025-10-02T08:41:00Z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2e3024e0-82c7-4b42-a7e4-07ed27ddce1d</vt:lpwstr>
  </property>
</Properties>
</file>