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CD26" w14:textId="4DDEAF29" w:rsidR="008C2164" w:rsidRPr="001636EF" w:rsidRDefault="000611B2" w:rsidP="00B057F7">
      <w:pPr>
        <w:rPr>
          <w:color w:val="FFFFFF" w:themeColor="background1"/>
        </w:rPr>
      </w:pPr>
      <w:r w:rsidRPr="001636EF">
        <w:rPr>
          <w:noProof/>
        </w:rPr>
        <w:drawing>
          <wp:anchor distT="0" distB="0" distL="114300" distR="114300" simplePos="0" relativeHeight="251649536" behindDoc="0" locked="0" layoutInCell="1" allowOverlap="1" wp14:anchorId="0ECE7025" wp14:editId="522E8FED">
            <wp:simplePos x="0" y="0"/>
            <wp:positionH relativeFrom="margin">
              <wp:posOffset>-373759</wp:posOffset>
            </wp:positionH>
            <wp:positionV relativeFrom="paragraph">
              <wp:posOffset>-570865</wp:posOffset>
            </wp:positionV>
            <wp:extent cx="3469640" cy="575945"/>
            <wp:effectExtent l="0" t="0" r="0" b="0"/>
            <wp:wrapNone/>
            <wp:docPr id="1"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9640" cy="575945"/>
                    </a:xfrm>
                    <a:prstGeom prst="rect">
                      <a:avLst/>
                    </a:prstGeom>
                  </pic:spPr>
                </pic:pic>
              </a:graphicData>
            </a:graphic>
            <wp14:sizeRelH relativeFrom="page">
              <wp14:pctWidth>0</wp14:pctWidth>
            </wp14:sizeRelH>
            <wp14:sizeRelV relativeFrom="page">
              <wp14:pctHeight>0</wp14:pctHeight>
            </wp14:sizeRelV>
          </wp:anchor>
        </w:drawing>
      </w:r>
      <w:r w:rsidRPr="001636EF">
        <w:rPr>
          <w:noProof/>
        </w:rPr>
        <w:drawing>
          <wp:anchor distT="0" distB="0" distL="114300" distR="114300" simplePos="0" relativeHeight="251661824" behindDoc="1" locked="0" layoutInCell="1" allowOverlap="1" wp14:anchorId="5BA35016" wp14:editId="5F33F218">
            <wp:simplePos x="0" y="0"/>
            <wp:positionH relativeFrom="page">
              <wp:posOffset>-34925</wp:posOffset>
            </wp:positionH>
            <wp:positionV relativeFrom="page">
              <wp:align>top</wp:align>
            </wp:positionV>
            <wp:extent cx="9276715" cy="2968625"/>
            <wp:effectExtent l="0" t="0" r="635" b="3175"/>
            <wp:wrapNone/>
            <wp:docPr id="4" name="Picture 4" descr="A green background with a pattern of intertwin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background with a pattern of intertwined circles&#10;&#10;AI-generated content may be incorrect."/>
                    <pic:cNvPicPr/>
                  </pic:nvPicPr>
                  <pic:blipFill rotWithShape="1">
                    <a:blip r:embed="rId12" cstate="print">
                      <a:extLst>
                        <a:ext uri="{28A0092B-C50C-407E-A947-70E740481C1C}">
                          <a14:useLocalDpi xmlns:a14="http://schemas.microsoft.com/office/drawing/2010/main" val="0"/>
                        </a:ext>
                      </a:extLst>
                    </a:blip>
                    <a:srcRect b="32236"/>
                    <a:stretch/>
                  </pic:blipFill>
                  <pic:spPr bwMode="auto">
                    <a:xfrm>
                      <a:off x="0" y="0"/>
                      <a:ext cx="9276715" cy="296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EEB29D" w14:textId="4E23C2BE" w:rsidR="00B057F7" w:rsidRPr="001636EF" w:rsidRDefault="00B057F7" w:rsidP="00B057F7">
      <w:pPr>
        <w:rPr>
          <w:color w:val="FFFFFF" w:themeColor="background1"/>
        </w:rPr>
      </w:pPr>
    </w:p>
    <w:p w14:paraId="67A2597C" w14:textId="1440C753" w:rsidR="008C2164" w:rsidRPr="002709FF" w:rsidRDefault="008C2164" w:rsidP="00F9057B">
      <w:pPr>
        <w:tabs>
          <w:tab w:val="left" w:pos="1260"/>
        </w:tabs>
        <w:spacing w:after="100" w:afterAutospacing="1" w:line="192" w:lineRule="auto"/>
        <w:rPr>
          <w:rFonts w:eastAsia="Calibri"/>
          <w:b/>
          <w:bCs/>
          <w:color w:val="FFFFFF"/>
          <w:kern w:val="0"/>
          <w:sz w:val="56"/>
          <w:szCs w:val="56"/>
          <w:shd w:val="clear" w:color="auto" w:fill="auto"/>
          <w:lang w:val="en-US" w:eastAsia="en-US"/>
          <w14:ligatures w14:val="none"/>
        </w:rPr>
      </w:pPr>
      <w:r w:rsidRPr="002709FF">
        <w:rPr>
          <w:rFonts w:eastAsia="Calibri"/>
          <w:b/>
          <w:bCs/>
          <w:noProof/>
          <w:color w:val="2F2E2F"/>
          <w:kern w:val="0"/>
          <w:sz w:val="22"/>
          <w:szCs w:val="20"/>
          <w:shd w:val="clear" w:color="auto" w:fill="auto"/>
          <w14:ligatures w14:val="none"/>
        </w:rPr>
        <w:drawing>
          <wp:anchor distT="0" distB="0" distL="114300" distR="114300" simplePos="0" relativeHeight="251667968" behindDoc="0" locked="0" layoutInCell="1" allowOverlap="1" wp14:anchorId="0611F6E8" wp14:editId="7A39E63D">
            <wp:simplePos x="0" y="0"/>
            <wp:positionH relativeFrom="column">
              <wp:posOffset>4628515</wp:posOffset>
            </wp:positionH>
            <wp:positionV relativeFrom="page">
              <wp:posOffset>447040</wp:posOffset>
            </wp:positionV>
            <wp:extent cx="2733040" cy="1548130"/>
            <wp:effectExtent l="0" t="0" r="0" b="0"/>
            <wp:wrapNone/>
            <wp:docPr id="6" name="Picture 6"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3040" cy="1548130"/>
                    </a:xfrm>
                    <a:prstGeom prst="rect">
                      <a:avLst/>
                    </a:prstGeom>
                    <a:noFill/>
                  </pic:spPr>
                </pic:pic>
              </a:graphicData>
            </a:graphic>
            <wp14:sizeRelH relativeFrom="page">
              <wp14:pctWidth>0</wp14:pctWidth>
            </wp14:sizeRelH>
            <wp14:sizeRelV relativeFrom="page">
              <wp14:pctHeight>0</wp14:pctHeight>
            </wp14:sizeRelV>
          </wp:anchor>
        </w:drawing>
      </w:r>
      <w:r w:rsidRPr="002709FF">
        <w:rPr>
          <w:rFonts w:eastAsia="Calibri"/>
          <w:b/>
          <w:bCs/>
          <w:color w:val="FFFFFF"/>
          <w:kern w:val="0"/>
          <w:sz w:val="56"/>
          <w:szCs w:val="56"/>
          <w:shd w:val="clear" w:color="auto" w:fill="auto"/>
          <w:lang w:val="en-US" w:eastAsia="en-US"/>
          <w14:ligatures w14:val="none"/>
        </w:rPr>
        <w:t>Evidence Search and Summary</w:t>
      </w:r>
    </w:p>
    <w:p w14:paraId="25EF5495" w14:textId="791EEE90" w:rsidR="00F06446" w:rsidRPr="00F06446" w:rsidRDefault="00F21275" w:rsidP="00F9057B">
      <w:pPr>
        <w:tabs>
          <w:tab w:val="left" w:pos="1260"/>
        </w:tabs>
        <w:spacing w:after="100" w:afterAutospacing="1" w:line="192" w:lineRule="auto"/>
        <w:rPr>
          <w:rFonts w:eastAsia="Calibri"/>
          <w:color w:val="FFFFFF"/>
          <w:kern w:val="0"/>
          <w:sz w:val="40"/>
          <w:szCs w:val="40"/>
          <w:shd w:val="clear" w:color="auto" w:fill="auto"/>
          <w:lang w:val="en-US" w:eastAsia="en-US"/>
          <w14:ligatures w14:val="none"/>
        </w:rPr>
      </w:pPr>
      <w:r>
        <w:rPr>
          <w:rFonts w:eastAsia="Calibri"/>
          <w:color w:val="FFFFFF"/>
          <w:kern w:val="0"/>
          <w:sz w:val="40"/>
          <w:szCs w:val="40"/>
          <w:shd w:val="clear" w:color="auto" w:fill="auto"/>
          <w:lang w:val="en-US" w:eastAsia="en-US"/>
          <w14:ligatures w14:val="none"/>
        </w:rPr>
        <w:t>Gynaecomastia</w:t>
      </w:r>
      <w:r w:rsidR="00F06446" w:rsidRPr="002709FF">
        <w:rPr>
          <w:rFonts w:eastAsia="Calibri"/>
          <w:color w:val="FFFFFF"/>
          <w:kern w:val="0"/>
          <w:sz w:val="40"/>
          <w:szCs w:val="40"/>
          <w:shd w:val="clear" w:color="auto" w:fill="auto"/>
          <w:lang w:val="en-US" w:eastAsia="en-US"/>
          <w14:ligatures w14:val="none"/>
        </w:rPr>
        <w:t>: evidence base to underpin</w:t>
      </w:r>
      <w:r w:rsidR="00F06446" w:rsidRPr="00F06446">
        <w:rPr>
          <w:rFonts w:eastAsia="Calibri"/>
          <w:color w:val="FFFFFF"/>
          <w:kern w:val="0"/>
          <w:sz w:val="40"/>
          <w:szCs w:val="40"/>
          <w:shd w:val="clear" w:color="auto" w:fill="auto"/>
          <w:lang w:val="en-US" w:eastAsia="en-US"/>
          <w14:ligatures w14:val="none"/>
        </w:rPr>
        <w:t xml:space="preserve"> </w:t>
      </w:r>
      <w:r w:rsidR="002709FF">
        <w:rPr>
          <w:rFonts w:eastAsia="Calibri"/>
          <w:color w:val="FFFFFF"/>
          <w:kern w:val="0"/>
          <w:sz w:val="40"/>
          <w:szCs w:val="40"/>
          <w:shd w:val="clear" w:color="auto" w:fill="auto"/>
          <w:lang w:val="en-US" w:eastAsia="en-US"/>
          <w14:ligatures w14:val="none"/>
        </w:rPr>
        <w:br/>
      </w:r>
      <w:r w:rsidR="00F06446" w:rsidRPr="00F06446">
        <w:rPr>
          <w:rFonts w:eastAsia="Calibri"/>
          <w:color w:val="FFFFFF"/>
          <w:kern w:val="0"/>
          <w:sz w:val="40"/>
          <w:szCs w:val="40"/>
          <w:shd w:val="clear" w:color="auto" w:fill="auto"/>
          <w:lang w:val="en-US" w:eastAsia="en-US"/>
          <w14:ligatures w14:val="none"/>
        </w:rPr>
        <w:t>Exceptional Referral Protocol</w:t>
      </w:r>
    </w:p>
    <w:p w14:paraId="698C9498" w14:textId="77777777" w:rsidR="00F06446" w:rsidRPr="001636EF" w:rsidRDefault="00F06446" w:rsidP="00F06446">
      <w:pPr>
        <w:rPr>
          <w:shd w:val="clear" w:color="auto" w:fill="auto"/>
          <w:lang w:val="en-US" w:eastAsia="en-US"/>
        </w:rPr>
      </w:pPr>
    </w:p>
    <w:p w14:paraId="6F85A644" w14:textId="0CFD1A57" w:rsidR="008C2164" w:rsidRPr="001636EF" w:rsidRDefault="008C2164" w:rsidP="008C2164">
      <w:pPr>
        <w:rPr>
          <w:rFonts w:eastAsia="Times New Roman"/>
        </w:rPr>
      </w:pPr>
    </w:p>
    <w:p w14:paraId="5804428E" w14:textId="77777777" w:rsidR="0002622F" w:rsidRPr="001636EF" w:rsidRDefault="0002622F" w:rsidP="008C2164">
      <w:pPr>
        <w:rPr>
          <w:rFonts w:eastAsia="Times New Roman"/>
        </w:rPr>
      </w:pPr>
    </w:p>
    <w:p w14:paraId="674B73BE" w14:textId="7F5D5A9D" w:rsidR="00117651" w:rsidRPr="00A11920" w:rsidRDefault="000B2FFA" w:rsidP="00117651">
      <w:pPr>
        <w:rPr>
          <w:rFonts w:eastAsia="Times New Roman"/>
          <w:b/>
          <w:bCs/>
          <w:color w:val="009A46"/>
          <w:sz w:val="28"/>
          <w:szCs w:val="28"/>
        </w:rPr>
      </w:pPr>
      <w:r>
        <w:rPr>
          <w:rFonts w:eastAsia="Times New Roman"/>
          <w:b/>
          <w:bCs/>
          <w:color w:val="009A46"/>
          <w:sz w:val="28"/>
          <w:szCs w:val="28"/>
        </w:rPr>
        <w:t>An e</w:t>
      </w:r>
      <w:r w:rsidR="00117651" w:rsidRPr="00A11920">
        <w:rPr>
          <w:rFonts w:eastAsia="Times New Roman"/>
          <w:b/>
          <w:bCs/>
          <w:color w:val="009A46"/>
          <w:sz w:val="28"/>
          <w:szCs w:val="28"/>
        </w:rPr>
        <w:t>vidence search and summar</w:t>
      </w:r>
      <w:r>
        <w:rPr>
          <w:rFonts w:eastAsia="Times New Roman"/>
          <w:b/>
          <w:bCs/>
          <w:color w:val="009A46"/>
          <w:sz w:val="28"/>
          <w:szCs w:val="28"/>
        </w:rPr>
        <w:t>y is a</w:t>
      </w:r>
      <w:r w:rsidR="00117651" w:rsidRPr="00A11920">
        <w:rPr>
          <w:rFonts w:eastAsia="Times New Roman"/>
          <w:b/>
          <w:bCs/>
          <w:color w:val="009A46"/>
          <w:sz w:val="28"/>
          <w:szCs w:val="28"/>
        </w:rPr>
        <w:t xml:space="preserve"> high-level briefing to provide more detail about </w:t>
      </w:r>
      <w:r w:rsidR="00262788">
        <w:rPr>
          <w:rFonts w:eastAsia="Times New Roman"/>
          <w:b/>
          <w:bCs/>
          <w:color w:val="009A46"/>
          <w:sz w:val="28"/>
          <w:szCs w:val="28"/>
        </w:rPr>
        <w:t>a</w:t>
      </w:r>
      <w:r w:rsidR="00117651" w:rsidRPr="00A11920">
        <w:rPr>
          <w:rFonts w:eastAsia="Times New Roman"/>
          <w:b/>
          <w:bCs/>
          <w:color w:val="009A46"/>
          <w:sz w:val="28"/>
          <w:szCs w:val="28"/>
        </w:rPr>
        <w:t xml:space="preserve"> topic to help with decision making.</w:t>
      </w:r>
    </w:p>
    <w:p w14:paraId="3C2A477D" w14:textId="77777777" w:rsidR="00117651" w:rsidRDefault="00117651" w:rsidP="00117651">
      <w:pPr>
        <w:rPr>
          <w:rFonts w:eastAsia="Times New Roman"/>
          <w:color w:val="009A46"/>
          <w:sz w:val="28"/>
          <w:szCs w:val="28"/>
        </w:rPr>
      </w:pPr>
    </w:p>
    <w:p w14:paraId="20F81DAF" w14:textId="77777777" w:rsidR="00117651" w:rsidRPr="00FD60BD" w:rsidRDefault="00117651" w:rsidP="00117651">
      <w:pPr>
        <w:rPr>
          <w:rFonts w:eastAsia="Times New Roman"/>
          <w:color w:val="009A46"/>
          <w:sz w:val="28"/>
          <w:szCs w:val="28"/>
        </w:rPr>
      </w:pPr>
    </w:p>
    <w:p w14:paraId="685FD03F" w14:textId="77777777" w:rsidR="00F045E8" w:rsidRPr="001636EF" w:rsidRDefault="00F045E8" w:rsidP="00B159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98"/>
      </w:tblGrid>
      <w:tr w:rsidR="002C702D" w:rsidRPr="001636EF" w14:paraId="42390737" w14:textId="77777777" w:rsidTr="00400565">
        <w:tc>
          <w:tcPr>
            <w:tcW w:w="1418" w:type="dxa"/>
          </w:tcPr>
          <w:p w14:paraId="07E0A8E8" w14:textId="18000978" w:rsidR="002C702D" w:rsidRPr="001636EF" w:rsidRDefault="00895F50" w:rsidP="00B15943">
            <w:r>
              <w:rPr>
                <w:b/>
                <w:bCs/>
              </w:rPr>
              <w:t>Referrer</w:t>
            </w:r>
            <w:r w:rsidR="00586A66" w:rsidRPr="001636EF">
              <w:rPr>
                <w:b/>
                <w:bCs/>
              </w:rPr>
              <w:t xml:space="preserve"> </w:t>
            </w:r>
            <w:r w:rsidR="00586A66" w:rsidRPr="001636EF">
              <w:rPr>
                <w:b/>
                <w:bCs/>
              </w:rPr>
              <w:br/>
            </w:r>
          </w:p>
        </w:tc>
        <w:tc>
          <w:tcPr>
            <w:tcW w:w="7598" w:type="dxa"/>
          </w:tcPr>
          <w:p w14:paraId="50BC769D" w14:textId="412A63A6" w:rsidR="002C702D" w:rsidRPr="00D127C0" w:rsidRDefault="002C702D" w:rsidP="00B15943">
            <w:r w:rsidRPr="00D127C0">
              <w:t xml:space="preserve">Andy Malyon, Chair, Procedures of Limited Value Group, </w:t>
            </w:r>
            <w:r w:rsidR="00C40E67" w:rsidRPr="00D127C0">
              <w:t>Scottish Government</w:t>
            </w:r>
            <w:r w:rsidRPr="00D127C0">
              <w:t xml:space="preserve"> </w:t>
            </w:r>
            <w:hyperlink r:id="rId14" w:history="1">
              <w:r w:rsidR="00C40E67" w:rsidRPr="00D127C0">
                <w:rPr>
                  <w:rStyle w:val="Hyperlink"/>
                </w:rPr>
                <w:t>Andy.Malyon@gov.scot</w:t>
              </w:r>
            </w:hyperlink>
          </w:p>
          <w:p w14:paraId="691F56ED" w14:textId="77777777" w:rsidR="002C702D" w:rsidRPr="00D127C0" w:rsidRDefault="002C702D" w:rsidP="00B15943"/>
          <w:p w14:paraId="72569F88" w14:textId="507A4D57" w:rsidR="002C702D" w:rsidRPr="00D127C0" w:rsidRDefault="002C702D" w:rsidP="00B15943">
            <w:pPr>
              <w:rPr>
                <w14:ligatures w14:val="none"/>
              </w:rPr>
            </w:pPr>
            <w:r w:rsidRPr="00D127C0">
              <w:t xml:space="preserve">Craig Bell, </w:t>
            </w:r>
            <w:r w:rsidRPr="00D127C0">
              <w:rPr>
                <w14:ligatures w14:val="none"/>
              </w:rPr>
              <w:t xml:space="preserve">Head of Realistic Medicine Policy Team, </w:t>
            </w:r>
            <w:r w:rsidR="00714FA8" w:rsidRPr="00D127C0">
              <w:rPr>
                <w14:ligatures w14:val="none"/>
              </w:rPr>
              <w:br/>
            </w:r>
            <w:r w:rsidR="00C40E67" w:rsidRPr="00D127C0">
              <w:t xml:space="preserve">Scottish Government </w:t>
            </w:r>
            <w:hyperlink r:id="rId15" w:history="1">
              <w:r w:rsidR="00D96514" w:rsidRPr="00D127C0">
                <w:rPr>
                  <w:rStyle w:val="Hyperlink"/>
                  <w14:ligatures w14:val="none"/>
                </w:rPr>
                <w:t>craig.bell@gov.scot</w:t>
              </w:r>
            </w:hyperlink>
          </w:p>
          <w:p w14:paraId="003311A8" w14:textId="77777777" w:rsidR="002C702D" w:rsidRPr="00D127C0" w:rsidRDefault="002C702D" w:rsidP="00B15943"/>
        </w:tc>
      </w:tr>
      <w:tr w:rsidR="002C702D" w:rsidRPr="001636EF" w14:paraId="4EA063D7" w14:textId="77777777" w:rsidTr="00400565">
        <w:tc>
          <w:tcPr>
            <w:tcW w:w="1418" w:type="dxa"/>
          </w:tcPr>
          <w:p w14:paraId="65C9F17D" w14:textId="6D073036" w:rsidR="002C702D" w:rsidRPr="001636EF" w:rsidRDefault="00400565" w:rsidP="00B15943">
            <w:r w:rsidRPr="001636EF">
              <w:rPr>
                <w:b/>
                <w:bCs/>
              </w:rPr>
              <w:t>Author</w:t>
            </w:r>
            <w:r w:rsidR="002C702D" w:rsidRPr="001636EF">
              <w:t xml:space="preserve"> </w:t>
            </w:r>
            <w:r w:rsidR="00194995" w:rsidRPr="001636EF">
              <w:br/>
            </w:r>
          </w:p>
          <w:p w14:paraId="20D690C4" w14:textId="6715C033" w:rsidR="00C40E67" w:rsidRPr="001636EF" w:rsidRDefault="00C40E67" w:rsidP="00B15943"/>
        </w:tc>
        <w:tc>
          <w:tcPr>
            <w:tcW w:w="7598" w:type="dxa"/>
          </w:tcPr>
          <w:p w14:paraId="0609FC2F" w14:textId="77777777" w:rsidR="00D96514" w:rsidRDefault="00894269" w:rsidP="00B15943">
            <w:r w:rsidRPr="00894269">
              <w:t>Evidence search and summaries are authored by the Information Scientists in Healthcare Improvement Scotland (HIS), with support from colleagues in the HIS Research and Information Service</w:t>
            </w:r>
          </w:p>
          <w:p w14:paraId="5B1BA546" w14:textId="7E1DF9A6" w:rsidR="00894269" w:rsidRPr="00D127C0" w:rsidRDefault="00894269" w:rsidP="00B15943"/>
        </w:tc>
      </w:tr>
      <w:tr w:rsidR="002C702D" w:rsidRPr="001636EF" w14:paraId="2256D7A5" w14:textId="77777777" w:rsidTr="00400565">
        <w:tc>
          <w:tcPr>
            <w:tcW w:w="1418" w:type="dxa"/>
          </w:tcPr>
          <w:p w14:paraId="7A232125" w14:textId="2232B86B" w:rsidR="002C702D" w:rsidRPr="001636EF" w:rsidRDefault="002C702D" w:rsidP="00B15943">
            <w:r w:rsidRPr="001636EF">
              <w:rPr>
                <w:b/>
                <w:bCs/>
              </w:rPr>
              <w:t>Date</w:t>
            </w:r>
          </w:p>
        </w:tc>
        <w:tc>
          <w:tcPr>
            <w:tcW w:w="7598" w:type="dxa"/>
          </w:tcPr>
          <w:p w14:paraId="4D37F94C" w14:textId="6CF687AA" w:rsidR="002C702D" w:rsidRPr="00D127C0" w:rsidRDefault="002B150E" w:rsidP="00B15943">
            <w:r w:rsidRPr="00D127C0">
              <w:t>23 February 2025</w:t>
            </w:r>
          </w:p>
          <w:p w14:paraId="30BB73D1" w14:textId="0CEEE8FC" w:rsidR="009F5963" w:rsidRPr="00D127C0" w:rsidRDefault="009F5963" w:rsidP="00B15943"/>
        </w:tc>
      </w:tr>
    </w:tbl>
    <w:p w14:paraId="11BDFB14" w14:textId="77777777" w:rsidR="002C702D" w:rsidRPr="001636EF" w:rsidRDefault="002C702D" w:rsidP="00B15943"/>
    <w:p w14:paraId="33812F33" w14:textId="77777777" w:rsidR="0002622F" w:rsidRPr="001636EF" w:rsidRDefault="0002622F" w:rsidP="00B15943"/>
    <w:p w14:paraId="5F8C3FED" w14:textId="77777777" w:rsidR="009F0AFB" w:rsidRPr="001636EF" w:rsidRDefault="009F0AFB" w:rsidP="00B15943"/>
    <w:p w14:paraId="2B790FC1" w14:textId="77777777" w:rsidR="009F0AFB" w:rsidRPr="001636EF" w:rsidRDefault="009F0AFB" w:rsidP="00B15943"/>
    <w:p w14:paraId="399388CA" w14:textId="77777777" w:rsidR="00D5243B" w:rsidRPr="001636EF" w:rsidRDefault="00D5243B" w:rsidP="00D5243B">
      <w:bookmarkStart w:id="0" w:name="_Hlk198021262"/>
      <w:r w:rsidRPr="001636EF">
        <w:t xml:space="preserve">The Evidence Search and Summary Service is provided by Healthcare Improvement Scotland’s </w:t>
      </w:r>
      <w:r>
        <w:t>Evidence and Digital Directorate</w:t>
      </w:r>
      <w:r w:rsidRPr="001636EF">
        <w:t xml:space="preserve">. This is one of </w:t>
      </w:r>
      <w:r>
        <w:t>the</w:t>
      </w:r>
      <w:r w:rsidRPr="001636EF">
        <w:t xml:space="preserve"> services </w:t>
      </w:r>
      <w:r>
        <w:t>we offer</w:t>
      </w:r>
      <w:r w:rsidRPr="001636EF">
        <w:t xml:space="preserve"> to use evidence to improve health and care. To find out more, please contact </w:t>
      </w:r>
      <w:hyperlink r:id="rId16" w:history="1">
        <w:r w:rsidRPr="00677FD9">
          <w:rPr>
            <w:rStyle w:val="Hyperlink"/>
          </w:rPr>
          <w:t>his.evidence@nhs.scot</w:t>
        </w:r>
      </w:hyperlink>
      <w:r>
        <w:t xml:space="preserve"> </w:t>
      </w:r>
    </w:p>
    <w:bookmarkEnd w:id="0" w:displacedByCustomXml="next"/>
    <w:sdt>
      <w:sdtPr>
        <w:rPr>
          <w:rFonts w:eastAsiaTheme="minorEastAsia"/>
          <w:b w:val="0"/>
          <w:bCs w:val="0"/>
          <w:color w:val="auto"/>
          <w:kern w:val="2"/>
          <w:sz w:val="24"/>
          <w:szCs w:val="24"/>
          <w:shd w:val="clear" w:color="auto" w:fill="FFFFFF"/>
          <w14:ligatures w14:val="standardContextual"/>
        </w:rPr>
        <w:id w:val="-1935431790"/>
        <w:docPartObj>
          <w:docPartGallery w:val="Table of Contents"/>
          <w:docPartUnique/>
        </w:docPartObj>
      </w:sdtPr>
      <w:sdtEndPr/>
      <w:sdtContent>
        <w:p w14:paraId="1242BAD4" w14:textId="1C3C09D6" w:rsidR="00A26312" w:rsidRPr="00EB239A" w:rsidRDefault="00A26312" w:rsidP="00EB239A">
          <w:pPr>
            <w:pStyle w:val="TOCHeading"/>
          </w:pPr>
          <w:r w:rsidRPr="00EB239A">
            <w:t>Contents</w:t>
          </w:r>
        </w:p>
        <w:p w14:paraId="45B7F2A1" w14:textId="56978E07" w:rsidR="00B74542" w:rsidRDefault="00A26312">
          <w:pPr>
            <w:pStyle w:val="TOC1"/>
            <w:tabs>
              <w:tab w:val="left" w:pos="480"/>
              <w:tab w:val="right" w:leader="dot" w:pos="9016"/>
            </w:tabs>
            <w:rPr>
              <w:rFonts w:asciiTheme="minorHAnsi" w:eastAsiaTheme="minorEastAsia" w:hAnsiTheme="minorHAnsi" w:cstheme="minorBidi"/>
              <w:noProof/>
              <w:shd w:val="clear" w:color="auto" w:fill="auto"/>
            </w:rPr>
          </w:pPr>
          <w:r w:rsidRPr="001636EF">
            <w:fldChar w:fldCharType="begin"/>
          </w:r>
          <w:r w:rsidRPr="001636EF">
            <w:instrText xml:space="preserve"> TOC \o "1-3" \h \z \u </w:instrText>
          </w:r>
          <w:r w:rsidRPr="001636EF">
            <w:fldChar w:fldCharType="separate"/>
          </w:r>
          <w:hyperlink w:anchor="_Toc197676460" w:history="1">
            <w:r w:rsidR="00B74542" w:rsidRPr="00A775C6">
              <w:rPr>
                <w:rStyle w:val="Hyperlink"/>
                <w:noProof/>
              </w:rPr>
              <w:t>1</w:t>
            </w:r>
            <w:r w:rsidR="00B74542">
              <w:rPr>
                <w:rFonts w:asciiTheme="minorHAnsi" w:eastAsiaTheme="minorEastAsia" w:hAnsiTheme="minorHAnsi" w:cstheme="minorBidi"/>
                <w:noProof/>
                <w:shd w:val="clear" w:color="auto" w:fill="auto"/>
              </w:rPr>
              <w:tab/>
            </w:r>
            <w:r w:rsidR="00B74542" w:rsidRPr="00A775C6">
              <w:rPr>
                <w:rStyle w:val="Hyperlink"/>
                <w:noProof/>
              </w:rPr>
              <w:t>Title</w:t>
            </w:r>
            <w:r w:rsidR="00B74542">
              <w:rPr>
                <w:noProof/>
                <w:webHidden/>
              </w:rPr>
              <w:tab/>
            </w:r>
            <w:r w:rsidR="00B74542">
              <w:rPr>
                <w:noProof/>
                <w:webHidden/>
              </w:rPr>
              <w:fldChar w:fldCharType="begin"/>
            </w:r>
            <w:r w:rsidR="00B74542">
              <w:rPr>
                <w:noProof/>
                <w:webHidden/>
              </w:rPr>
              <w:instrText xml:space="preserve"> PAGEREF _Toc197676460 \h </w:instrText>
            </w:r>
            <w:r w:rsidR="00B74542">
              <w:rPr>
                <w:noProof/>
                <w:webHidden/>
              </w:rPr>
            </w:r>
            <w:r w:rsidR="00B74542">
              <w:rPr>
                <w:noProof/>
                <w:webHidden/>
              </w:rPr>
              <w:fldChar w:fldCharType="separate"/>
            </w:r>
            <w:r w:rsidR="00B74542">
              <w:rPr>
                <w:noProof/>
                <w:webHidden/>
              </w:rPr>
              <w:t>2</w:t>
            </w:r>
            <w:r w:rsidR="00B74542">
              <w:rPr>
                <w:noProof/>
                <w:webHidden/>
              </w:rPr>
              <w:fldChar w:fldCharType="end"/>
            </w:r>
          </w:hyperlink>
        </w:p>
        <w:p w14:paraId="3CE3D857" w14:textId="33644B12" w:rsidR="00B74542" w:rsidRDefault="00B74542">
          <w:pPr>
            <w:pStyle w:val="TOC1"/>
            <w:tabs>
              <w:tab w:val="left" w:pos="480"/>
              <w:tab w:val="right" w:leader="dot" w:pos="9016"/>
            </w:tabs>
            <w:rPr>
              <w:rFonts w:asciiTheme="minorHAnsi" w:eastAsiaTheme="minorEastAsia" w:hAnsiTheme="minorHAnsi" w:cstheme="minorBidi"/>
              <w:noProof/>
              <w:shd w:val="clear" w:color="auto" w:fill="auto"/>
            </w:rPr>
          </w:pPr>
          <w:hyperlink w:anchor="_Toc197676461" w:history="1">
            <w:r w:rsidRPr="00A775C6">
              <w:rPr>
                <w:rStyle w:val="Hyperlink"/>
                <w:noProof/>
              </w:rPr>
              <w:t>2</w:t>
            </w:r>
            <w:r>
              <w:rPr>
                <w:rFonts w:asciiTheme="minorHAnsi" w:eastAsiaTheme="minorEastAsia" w:hAnsiTheme="minorHAnsi" w:cstheme="minorBidi"/>
                <w:noProof/>
                <w:shd w:val="clear" w:color="auto" w:fill="auto"/>
              </w:rPr>
              <w:tab/>
            </w:r>
            <w:r w:rsidRPr="00A775C6">
              <w:rPr>
                <w:rStyle w:val="Hyperlink"/>
                <w:noProof/>
              </w:rPr>
              <w:t>Questions</w:t>
            </w:r>
            <w:r>
              <w:rPr>
                <w:noProof/>
                <w:webHidden/>
              </w:rPr>
              <w:tab/>
            </w:r>
            <w:r>
              <w:rPr>
                <w:noProof/>
                <w:webHidden/>
              </w:rPr>
              <w:fldChar w:fldCharType="begin"/>
            </w:r>
            <w:r>
              <w:rPr>
                <w:noProof/>
                <w:webHidden/>
              </w:rPr>
              <w:instrText xml:space="preserve"> PAGEREF _Toc197676461 \h </w:instrText>
            </w:r>
            <w:r>
              <w:rPr>
                <w:noProof/>
                <w:webHidden/>
              </w:rPr>
            </w:r>
            <w:r>
              <w:rPr>
                <w:noProof/>
                <w:webHidden/>
              </w:rPr>
              <w:fldChar w:fldCharType="separate"/>
            </w:r>
            <w:r>
              <w:rPr>
                <w:noProof/>
                <w:webHidden/>
              </w:rPr>
              <w:t>2</w:t>
            </w:r>
            <w:r>
              <w:rPr>
                <w:noProof/>
                <w:webHidden/>
              </w:rPr>
              <w:fldChar w:fldCharType="end"/>
            </w:r>
          </w:hyperlink>
        </w:p>
        <w:p w14:paraId="0BEF50E2" w14:textId="09634427" w:rsidR="00B74542" w:rsidRDefault="00B74542">
          <w:pPr>
            <w:pStyle w:val="TOC1"/>
            <w:tabs>
              <w:tab w:val="left" w:pos="480"/>
              <w:tab w:val="right" w:leader="dot" w:pos="9016"/>
            </w:tabs>
            <w:rPr>
              <w:rFonts w:asciiTheme="minorHAnsi" w:eastAsiaTheme="minorEastAsia" w:hAnsiTheme="minorHAnsi" w:cstheme="minorBidi"/>
              <w:noProof/>
              <w:shd w:val="clear" w:color="auto" w:fill="auto"/>
            </w:rPr>
          </w:pPr>
          <w:hyperlink w:anchor="_Toc197676462" w:history="1">
            <w:r w:rsidRPr="00A775C6">
              <w:rPr>
                <w:rStyle w:val="Hyperlink"/>
                <w:noProof/>
              </w:rPr>
              <w:t>3</w:t>
            </w:r>
            <w:r>
              <w:rPr>
                <w:rFonts w:asciiTheme="minorHAnsi" w:eastAsiaTheme="minorEastAsia" w:hAnsiTheme="minorHAnsi" w:cstheme="minorBidi"/>
                <w:noProof/>
                <w:shd w:val="clear" w:color="auto" w:fill="auto"/>
              </w:rPr>
              <w:tab/>
            </w:r>
            <w:r w:rsidRPr="00A775C6">
              <w:rPr>
                <w:rStyle w:val="Hyperlink"/>
                <w:noProof/>
              </w:rPr>
              <w:t>Method and approach</w:t>
            </w:r>
            <w:r>
              <w:rPr>
                <w:noProof/>
                <w:webHidden/>
              </w:rPr>
              <w:tab/>
            </w:r>
            <w:r>
              <w:rPr>
                <w:noProof/>
                <w:webHidden/>
              </w:rPr>
              <w:fldChar w:fldCharType="begin"/>
            </w:r>
            <w:r>
              <w:rPr>
                <w:noProof/>
                <w:webHidden/>
              </w:rPr>
              <w:instrText xml:space="preserve"> PAGEREF _Toc197676462 \h </w:instrText>
            </w:r>
            <w:r>
              <w:rPr>
                <w:noProof/>
                <w:webHidden/>
              </w:rPr>
            </w:r>
            <w:r>
              <w:rPr>
                <w:noProof/>
                <w:webHidden/>
              </w:rPr>
              <w:fldChar w:fldCharType="separate"/>
            </w:r>
            <w:r>
              <w:rPr>
                <w:noProof/>
                <w:webHidden/>
              </w:rPr>
              <w:t>2</w:t>
            </w:r>
            <w:r>
              <w:rPr>
                <w:noProof/>
                <w:webHidden/>
              </w:rPr>
              <w:fldChar w:fldCharType="end"/>
            </w:r>
          </w:hyperlink>
        </w:p>
        <w:p w14:paraId="76FEA851" w14:textId="3670A902" w:rsidR="00B74542" w:rsidRDefault="00B74542">
          <w:pPr>
            <w:pStyle w:val="TOC1"/>
            <w:tabs>
              <w:tab w:val="left" w:pos="480"/>
              <w:tab w:val="right" w:leader="dot" w:pos="9016"/>
            </w:tabs>
            <w:rPr>
              <w:rFonts w:asciiTheme="minorHAnsi" w:eastAsiaTheme="minorEastAsia" w:hAnsiTheme="minorHAnsi" w:cstheme="minorBidi"/>
              <w:noProof/>
              <w:shd w:val="clear" w:color="auto" w:fill="auto"/>
            </w:rPr>
          </w:pPr>
          <w:hyperlink w:anchor="_Toc197676463" w:history="1">
            <w:r w:rsidRPr="00A775C6">
              <w:rPr>
                <w:rStyle w:val="Hyperlink"/>
                <w:noProof/>
              </w:rPr>
              <w:t>4</w:t>
            </w:r>
            <w:r>
              <w:rPr>
                <w:rFonts w:asciiTheme="minorHAnsi" w:eastAsiaTheme="minorEastAsia" w:hAnsiTheme="minorHAnsi" w:cstheme="minorBidi"/>
                <w:noProof/>
                <w:shd w:val="clear" w:color="auto" w:fill="auto"/>
              </w:rPr>
              <w:tab/>
            </w:r>
            <w:r w:rsidRPr="00A775C6">
              <w:rPr>
                <w:rStyle w:val="Hyperlink"/>
                <w:noProof/>
              </w:rPr>
              <w:t>Referral criteria</w:t>
            </w:r>
            <w:r>
              <w:rPr>
                <w:noProof/>
                <w:webHidden/>
              </w:rPr>
              <w:tab/>
            </w:r>
            <w:r>
              <w:rPr>
                <w:noProof/>
                <w:webHidden/>
              </w:rPr>
              <w:fldChar w:fldCharType="begin"/>
            </w:r>
            <w:r>
              <w:rPr>
                <w:noProof/>
                <w:webHidden/>
              </w:rPr>
              <w:instrText xml:space="preserve"> PAGEREF _Toc197676463 \h </w:instrText>
            </w:r>
            <w:r>
              <w:rPr>
                <w:noProof/>
                <w:webHidden/>
              </w:rPr>
            </w:r>
            <w:r>
              <w:rPr>
                <w:noProof/>
                <w:webHidden/>
              </w:rPr>
              <w:fldChar w:fldCharType="separate"/>
            </w:r>
            <w:r>
              <w:rPr>
                <w:noProof/>
                <w:webHidden/>
              </w:rPr>
              <w:t>2</w:t>
            </w:r>
            <w:r>
              <w:rPr>
                <w:noProof/>
                <w:webHidden/>
              </w:rPr>
              <w:fldChar w:fldCharType="end"/>
            </w:r>
          </w:hyperlink>
        </w:p>
        <w:p w14:paraId="228C30CD" w14:textId="217EE692" w:rsidR="00B74542" w:rsidRDefault="00B74542">
          <w:pPr>
            <w:pStyle w:val="TOC1"/>
            <w:tabs>
              <w:tab w:val="left" w:pos="480"/>
              <w:tab w:val="right" w:leader="dot" w:pos="9016"/>
            </w:tabs>
            <w:rPr>
              <w:rFonts w:asciiTheme="minorHAnsi" w:eastAsiaTheme="minorEastAsia" w:hAnsiTheme="minorHAnsi" w:cstheme="minorBidi"/>
              <w:noProof/>
              <w:shd w:val="clear" w:color="auto" w:fill="auto"/>
            </w:rPr>
          </w:pPr>
          <w:hyperlink w:anchor="_Toc197676464" w:history="1">
            <w:r w:rsidRPr="00A775C6">
              <w:rPr>
                <w:rStyle w:val="Hyperlink"/>
                <w:noProof/>
              </w:rPr>
              <w:t>5</w:t>
            </w:r>
            <w:r>
              <w:rPr>
                <w:rFonts w:asciiTheme="minorHAnsi" w:eastAsiaTheme="minorEastAsia" w:hAnsiTheme="minorHAnsi" w:cstheme="minorBidi"/>
                <w:noProof/>
                <w:shd w:val="clear" w:color="auto" w:fill="auto"/>
              </w:rPr>
              <w:tab/>
            </w:r>
            <w:r w:rsidRPr="00A775C6">
              <w:rPr>
                <w:rStyle w:val="Hyperlink"/>
                <w:noProof/>
              </w:rPr>
              <w:t>Benefits</w:t>
            </w:r>
            <w:r>
              <w:rPr>
                <w:noProof/>
                <w:webHidden/>
              </w:rPr>
              <w:tab/>
            </w:r>
            <w:r>
              <w:rPr>
                <w:noProof/>
                <w:webHidden/>
              </w:rPr>
              <w:fldChar w:fldCharType="begin"/>
            </w:r>
            <w:r>
              <w:rPr>
                <w:noProof/>
                <w:webHidden/>
              </w:rPr>
              <w:instrText xml:space="preserve"> PAGEREF _Toc197676464 \h </w:instrText>
            </w:r>
            <w:r>
              <w:rPr>
                <w:noProof/>
                <w:webHidden/>
              </w:rPr>
            </w:r>
            <w:r>
              <w:rPr>
                <w:noProof/>
                <w:webHidden/>
              </w:rPr>
              <w:fldChar w:fldCharType="separate"/>
            </w:r>
            <w:r>
              <w:rPr>
                <w:noProof/>
                <w:webHidden/>
              </w:rPr>
              <w:t>5</w:t>
            </w:r>
            <w:r>
              <w:rPr>
                <w:noProof/>
                <w:webHidden/>
              </w:rPr>
              <w:fldChar w:fldCharType="end"/>
            </w:r>
          </w:hyperlink>
        </w:p>
        <w:p w14:paraId="7738E83C" w14:textId="7EE794AF" w:rsidR="00B74542" w:rsidRDefault="00B74542">
          <w:pPr>
            <w:pStyle w:val="TOC1"/>
            <w:tabs>
              <w:tab w:val="left" w:pos="480"/>
              <w:tab w:val="right" w:leader="dot" w:pos="9016"/>
            </w:tabs>
            <w:rPr>
              <w:rFonts w:asciiTheme="minorHAnsi" w:eastAsiaTheme="minorEastAsia" w:hAnsiTheme="minorHAnsi" w:cstheme="minorBidi"/>
              <w:noProof/>
              <w:shd w:val="clear" w:color="auto" w:fill="auto"/>
            </w:rPr>
          </w:pPr>
          <w:hyperlink w:anchor="_Toc197676465" w:history="1">
            <w:r w:rsidRPr="00A775C6">
              <w:rPr>
                <w:rStyle w:val="Hyperlink"/>
                <w:noProof/>
              </w:rPr>
              <w:t>6</w:t>
            </w:r>
            <w:r>
              <w:rPr>
                <w:rFonts w:asciiTheme="minorHAnsi" w:eastAsiaTheme="minorEastAsia" w:hAnsiTheme="minorHAnsi" w:cstheme="minorBidi"/>
                <w:noProof/>
                <w:shd w:val="clear" w:color="auto" w:fill="auto"/>
              </w:rPr>
              <w:tab/>
            </w:r>
            <w:r w:rsidRPr="00A775C6">
              <w:rPr>
                <w:rStyle w:val="Hyperlink"/>
                <w:noProof/>
              </w:rPr>
              <w:t>Risks and complications</w:t>
            </w:r>
            <w:r>
              <w:rPr>
                <w:noProof/>
                <w:webHidden/>
              </w:rPr>
              <w:tab/>
            </w:r>
            <w:r>
              <w:rPr>
                <w:noProof/>
                <w:webHidden/>
              </w:rPr>
              <w:fldChar w:fldCharType="begin"/>
            </w:r>
            <w:r>
              <w:rPr>
                <w:noProof/>
                <w:webHidden/>
              </w:rPr>
              <w:instrText xml:space="preserve"> PAGEREF _Toc197676465 \h </w:instrText>
            </w:r>
            <w:r>
              <w:rPr>
                <w:noProof/>
                <w:webHidden/>
              </w:rPr>
            </w:r>
            <w:r>
              <w:rPr>
                <w:noProof/>
                <w:webHidden/>
              </w:rPr>
              <w:fldChar w:fldCharType="separate"/>
            </w:r>
            <w:r>
              <w:rPr>
                <w:noProof/>
                <w:webHidden/>
              </w:rPr>
              <w:t>5</w:t>
            </w:r>
            <w:r>
              <w:rPr>
                <w:noProof/>
                <w:webHidden/>
              </w:rPr>
              <w:fldChar w:fldCharType="end"/>
            </w:r>
          </w:hyperlink>
        </w:p>
        <w:p w14:paraId="5D3235BD" w14:textId="1B6ADECE" w:rsidR="00B74542" w:rsidRDefault="00B74542">
          <w:pPr>
            <w:pStyle w:val="TOC1"/>
            <w:tabs>
              <w:tab w:val="left" w:pos="480"/>
              <w:tab w:val="right" w:leader="dot" w:pos="9016"/>
            </w:tabs>
            <w:rPr>
              <w:rFonts w:asciiTheme="minorHAnsi" w:eastAsiaTheme="minorEastAsia" w:hAnsiTheme="minorHAnsi" w:cstheme="minorBidi"/>
              <w:noProof/>
              <w:shd w:val="clear" w:color="auto" w:fill="auto"/>
            </w:rPr>
          </w:pPr>
          <w:hyperlink w:anchor="_Toc197676466" w:history="1">
            <w:r w:rsidRPr="00A775C6">
              <w:rPr>
                <w:rStyle w:val="Hyperlink"/>
                <w:noProof/>
              </w:rPr>
              <w:t>7</w:t>
            </w:r>
            <w:r>
              <w:rPr>
                <w:rFonts w:asciiTheme="minorHAnsi" w:eastAsiaTheme="minorEastAsia" w:hAnsiTheme="minorHAnsi" w:cstheme="minorBidi"/>
                <w:noProof/>
                <w:shd w:val="clear" w:color="auto" w:fill="auto"/>
              </w:rPr>
              <w:tab/>
            </w:r>
            <w:r w:rsidRPr="00A775C6">
              <w:rPr>
                <w:rStyle w:val="Hyperlink"/>
                <w:noProof/>
              </w:rPr>
              <w:t>Alternatives to treatment</w:t>
            </w:r>
            <w:r>
              <w:rPr>
                <w:noProof/>
                <w:webHidden/>
              </w:rPr>
              <w:tab/>
            </w:r>
            <w:r>
              <w:rPr>
                <w:noProof/>
                <w:webHidden/>
              </w:rPr>
              <w:fldChar w:fldCharType="begin"/>
            </w:r>
            <w:r>
              <w:rPr>
                <w:noProof/>
                <w:webHidden/>
              </w:rPr>
              <w:instrText xml:space="preserve"> PAGEREF _Toc197676466 \h </w:instrText>
            </w:r>
            <w:r>
              <w:rPr>
                <w:noProof/>
                <w:webHidden/>
              </w:rPr>
            </w:r>
            <w:r>
              <w:rPr>
                <w:noProof/>
                <w:webHidden/>
              </w:rPr>
              <w:fldChar w:fldCharType="separate"/>
            </w:r>
            <w:r>
              <w:rPr>
                <w:noProof/>
                <w:webHidden/>
              </w:rPr>
              <w:t>6</w:t>
            </w:r>
            <w:r>
              <w:rPr>
                <w:noProof/>
                <w:webHidden/>
              </w:rPr>
              <w:fldChar w:fldCharType="end"/>
            </w:r>
          </w:hyperlink>
        </w:p>
        <w:p w14:paraId="6A447BE2" w14:textId="3AD81BBC" w:rsidR="00B74542" w:rsidRDefault="00B74542">
          <w:pPr>
            <w:pStyle w:val="TOC1"/>
            <w:tabs>
              <w:tab w:val="left" w:pos="480"/>
              <w:tab w:val="right" w:leader="dot" w:pos="9016"/>
            </w:tabs>
            <w:rPr>
              <w:rFonts w:asciiTheme="minorHAnsi" w:eastAsiaTheme="minorEastAsia" w:hAnsiTheme="minorHAnsi" w:cstheme="minorBidi"/>
              <w:noProof/>
              <w:shd w:val="clear" w:color="auto" w:fill="auto"/>
            </w:rPr>
          </w:pPr>
          <w:hyperlink w:anchor="_Toc197676467" w:history="1">
            <w:r w:rsidRPr="00A775C6">
              <w:rPr>
                <w:rStyle w:val="Hyperlink"/>
                <w:noProof/>
              </w:rPr>
              <w:t>8</w:t>
            </w:r>
            <w:r>
              <w:rPr>
                <w:rFonts w:asciiTheme="minorHAnsi" w:eastAsiaTheme="minorEastAsia" w:hAnsiTheme="minorHAnsi" w:cstheme="minorBidi"/>
                <w:noProof/>
                <w:shd w:val="clear" w:color="auto" w:fill="auto"/>
              </w:rPr>
              <w:tab/>
            </w:r>
            <w:r w:rsidRPr="00A775C6">
              <w:rPr>
                <w:rStyle w:val="Hyperlink"/>
                <w:noProof/>
              </w:rPr>
              <w:t>References</w:t>
            </w:r>
            <w:r>
              <w:rPr>
                <w:noProof/>
                <w:webHidden/>
              </w:rPr>
              <w:tab/>
            </w:r>
            <w:r>
              <w:rPr>
                <w:noProof/>
                <w:webHidden/>
              </w:rPr>
              <w:fldChar w:fldCharType="begin"/>
            </w:r>
            <w:r>
              <w:rPr>
                <w:noProof/>
                <w:webHidden/>
              </w:rPr>
              <w:instrText xml:space="preserve"> PAGEREF _Toc197676467 \h </w:instrText>
            </w:r>
            <w:r>
              <w:rPr>
                <w:noProof/>
                <w:webHidden/>
              </w:rPr>
            </w:r>
            <w:r>
              <w:rPr>
                <w:noProof/>
                <w:webHidden/>
              </w:rPr>
              <w:fldChar w:fldCharType="separate"/>
            </w:r>
            <w:r>
              <w:rPr>
                <w:noProof/>
                <w:webHidden/>
              </w:rPr>
              <w:t>7</w:t>
            </w:r>
            <w:r>
              <w:rPr>
                <w:noProof/>
                <w:webHidden/>
              </w:rPr>
              <w:fldChar w:fldCharType="end"/>
            </w:r>
          </w:hyperlink>
        </w:p>
        <w:p w14:paraId="60518057" w14:textId="4EE9E775" w:rsidR="00B74542" w:rsidRDefault="00B74542">
          <w:pPr>
            <w:pStyle w:val="TOC1"/>
            <w:tabs>
              <w:tab w:val="left" w:pos="480"/>
              <w:tab w:val="right" w:leader="dot" w:pos="9016"/>
            </w:tabs>
            <w:rPr>
              <w:rFonts w:asciiTheme="minorHAnsi" w:eastAsiaTheme="minorEastAsia" w:hAnsiTheme="minorHAnsi" w:cstheme="minorBidi"/>
              <w:noProof/>
              <w:shd w:val="clear" w:color="auto" w:fill="auto"/>
            </w:rPr>
          </w:pPr>
          <w:hyperlink w:anchor="_Toc197676468" w:history="1">
            <w:r w:rsidRPr="00A775C6">
              <w:rPr>
                <w:rStyle w:val="Hyperlink"/>
                <w:noProof/>
              </w:rPr>
              <w:t>9</w:t>
            </w:r>
            <w:r>
              <w:rPr>
                <w:rFonts w:asciiTheme="minorHAnsi" w:eastAsiaTheme="minorEastAsia" w:hAnsiTheme="minorHAnsi" w:cstheme="minorBidi"/>
                <w:noProof/>
                <w:shd w:val="clear" w:color="auto" w:fill="auto"/>
              </w:rPr>
              <w:tab/>
            </w:r>
            <w:r w:rsidRPr="00A775C6">
              <w:rPr>
                <w:rStyle w:val="Hyperlink"/>
                <w:noProof/>
              </w:rPr>
              <w:t>Appendices</w:t>
            </w:r>
            <w:r>
              <w:rPr>
                <w:noProof/>
                <w:webHidden/>
              </w:rPr>
              <w:tab/>
            </w:r>
            <w:r>
              <w:rPr>
                <w:noProof/>
                <w:webHidden/>
              </w:rPr>
              <w:fldChar w:fldCharType="begin"/>
            </w:r>
            <w:r>
              <w:rPr>
                <w:noProof/>
                <w:webHidden/>
              </w:rPr>
              <w:instrText xml:space="preserve"> PAGEREF _Toc197676468 \h </w:instrText>
            </w:r>
            <w:r>
              <w:rPr>
                <w:noProof/>
                <w:webHidden/>
              </w:rPr>
            </w:r>
            <w:r>
              <w:rPr>
                <w:noProof/>
                <w:webHidden/>
              </w:rPr>
              <w:fldChar w:fldCharType="separate"/>
            </w:r>
            <w:r>
              <w:rPr>
                <w:noProof/>
                <w:webHidden/>
              </w:rPr>
              <w:t>8</w:t>
            </w:r>
            <w:r>
              <w:rPr>
                <w:noProof/>
                <w:webHidden/>
              </w:rPr>
              <w:fldChar w:fldCharType="end"/>
            </w:r>
          </w:hyperlink>
        </w:p>
        <w:p w14:paraId="31B57162" w14:textId="7894899C" w:rsidR="00B74542" w:rsidRDefault="00B74542">
          <w:pPr>
            <w:pStyle w:val="TOC2"/>
            <w:tabs>
              <w:tab w:val="left" w:pos="960"/>
              <w:tab w:val="right" w:leader="dot" w:pos="9016"/>
            </w:tabs>
            <w:rPr>
              <w:rFonts w:asciiTheme="minorHAnsi" w:eastAsiaTheme="minorEastAsia" w:hAnsiTheme="minorHAnsi" w:cstheme="minorBidi"/>
              <w:noProof/>
              <w:shd w:val="clear" w:color="auto" w:fill="auto"/>
            </w:rPr>
          </w:pPr>
          <w:hyperlink w:anchor="_Toc197676469" w:history="1">
            <w:r w:rsidRPr="00A775C6">
              <w:rPr>
                <w:rStyle w:val="Hyperlink"/>
                <w:noProof/>
              </w:rPr>
              <w:t>9.1</w:t>
            </w:r>
            <w:r>
              <w:rPr>
                <w:rFonts w:asciiTheme="minorHAnsi" w:eastAsiaTheme="minorEastAsia" w:hAnsiTheme="minorHAnsi" w:cstheme="minorBidi"/>
                <w:noProof/>
                <w:shd w:val="clear" w:color="auto" w:fill="auto"/>
              </w:rPr>
              <w:tab/>
            </w:r>
            <w:r w:rsidRPr="00A775C6">
              <w:rPr>
                <w:rStyle w:val="Hyperlink"/>
                <w:noProof/>
              </w:rPr>
              <w:t>Appendix 1–Searching and screening method</w:t>
            </w:r>
            <w:r>
              <w:rPr>
                <w:noProof/>
                <w:webHidden/>
              </w:rPr>
              <w:tab/>
            </w:r>
            <w:r>
              <w:rPr>
                <w:noProof/>
                <w:webHidden/>
              </w:rPr>
              <w:fldChar w:fldCharType="begin"/>
            </w:r>
            <w:r>
              <w:rPr>
                <w:noProof/>
                <w:webHidden/>
              </w:rPr>
              <w:instrText xml:space="preserve"> PAGEREF _Toc197676469 \h </w:instrText>
            </w:r>
            <w:r>
              <w:rPr>
                <w:noProof/>
                <w:webHidden/>
              </w:rPr>
            </w:r>
            <w:r>
              <w:rPr>
                <w:noProof/>
                <w:webHidden/>
              </w:rPr>
              <w:fldChar w:fldCharType="separate"/>
            </w:r>
            <w:r>
              <w:rPr>
                <w:noProof/>
                <w:webHidden/>
              </w:rPr>
              <w:t>8</w:t>
            </w:r>
            <w:r>
              <w:rPr>
                <w:noProof/>
                <w:webHidden/>
              </w:rPr>
              <w:fldChar w:fldCharType="end"/>
            </w:r>
          </w:hyperlink>
        </w:p>
        <w:p w14:paraId="18CB8609" w14:textId="0A9602B3" w:rsidR="00B74542" w:rsidRDefault="00B74542">
          <w:pPr>
            <w:pStyle w:val="TOC2"/>
            <w:tabs>
              <w:tab w:val="left" w:pos="960"/>
              <w:tab w:val="right" w:leader="dot" w:pos="9016"/>
            </w:tabs>
            <w:rPr>
              <w:rFonts w:asciiTheme="minorHAnsi" w:eastAsiaTheme="minorEastAsia" w:hAnsiTheme="minorHAnsi" w:cstheme="minorBidi"/>
              <w:noProof/>
              <w:shd w:val="clear" w:color="auto" w:fill="auto"/>
            </w:rPr>
          </w:pPr>
          <w:hyperlink w:anchor="_Toc197676470" w:history="1">
            <w:r w:rsidRPr="00A775C6">
              <w:rPr>
                <w:rStyle w:val="Hyperlink"/>
                <w:noProof/>
              </w:rPr>
              <w:t>9.2</w:t>
            </w:r>
            <w:r>
              <w:rPr>
                <w:rFonts w:asciiTheme="minorHAnsi" w:eastAsiaTheme="minorEastAsia" w:hAnsiTheme="minorHAnsi" w:cstheme="minorBidi"/>
                <w:noProof/>
                <w:shd w:val="clear" w:color="auto" w:fill="auto"/>
              </w:rPr>
              <w:tab/>
            </w:r>
            <w:r w:rsidRPr="00A775C6">
              <w:rPr>
                <w:rStyle w:val="Hyperlink"/>
                <w:noProof/>
              </w:rPr>
              <w:t>Appendix 2–Search strategy</w:t>
            </w:r>
            <w:r>
              <w:rPr>
                <w:noProof/>
                <w:webHidden/>
              </w:rPr>
              <w:tab/>
            </w:r>
            <w:r>
              <w:rPr>
                <w:noProof/>
                <w:webHidden/>
              </w:rPr>
              <w:fldChar w:fldCharType="begin"/>
            </w:r>
            <w:r>
              <w:rPr>
                <w:noProof/>
                <w:webHidden/>
              </w:rPr>
              <w:instrText xml:space="preserve"> PAGEREF _Toc197676470 \h </w:instrText>
            </w:r>
            <w:r>
              <w:rPr>
                <w:noProof/>
                <w:webHidden/>
              </w:rPr>
            </w:r>
            <w:r>
              <w:rPr>
                <w:noProof/>
                <w:webHidden/>
              </w:rPr>
              <w:fldChar w:fldCharType="separate"/>
            </w:r>
            <w:r>
              <w:rPr>
                <w:noProof/>
                <w:webHidden/>
              </w:rPr>
              <w:t>8</w:t>
            </w:r>
            <w:r>
              <w:rPr>
                <w:noProof/>
                <w:webHidden/>
              </w:rPr>
              <w:fldChar w:fldCharType="end"/>
            </w:r>
          </w:hyperlink>
        </w:p>
        <w:p w14:paraId="25060BC4" w14:textId="52E1BB0B" w:rsidR="00A26312" w:rsidRPr="001636EF" w:rsidRDefault="00A26312">
          <w:r w:rsidRPr="001636EF">
            <w:rPr>
              <w:b/>
              <w:bCs/>
            </w:rPr>
            <w:fldChar w:fldCharType="end"/>
          </w:r>
        </w:p>
      </w:sdtContent>
    </w:sdt>
    <w:p w14:paraId="39DC052A" w14:textId="77777777" w:rsidR="00A26312" w:rsidRPr="001636EF" w:rsidRDefault="00A26312" w:rsidP="00A26312">
      <w:pPr>
        <w:rPr>
          <w:rFonts w:eastAsiaTheme="majorEastAsia"/>
          <w:color w:val="1F4E79" w:themeColor="accent1" w:themeShade="80"/>
          <w:sz w:val="28"/>
          <w:szCs w:val="28"/>
        </w:rPr>
      </w:pPr>
      <w:r w:rsidRPr="001636EF">
        <w:br w:type="page"/>
      </w:r>
    </w:p>
    <w:p w14:paraId="57F66158" w14:textId="084E2B33" w:rsidR="00850AC8" w:rsidRPr="00EB620C" w:rsidRDefault="00850AC8" w:rsidP="00EB620C">
      <w:pPr>
        <w:pStyle w:val="Heading1"/>
      </w:pPr>
      <w:bookmarkStart w:id="1" w:name="_Toc197676460"/>
      <w:r w:rsidRPr="00EB620C">
        <w:lastRenderedPageBreak/>
        <w:t>Title</w:t>
      </w:r>
      <w:bookmarkEnd w:id="1"/>
    </w:p>
    <w:p w14:paraId="3F209392" w14:textId="098D8F96" w:rsidR="003E1514" w:rsidRPr="001636EF" w:rsidRDefault="002B150E" w:rsidP="00B15943">
      <w:r>
        <w:t>Gynaecomastia</w:t>
      </w:r>
      <w:r w:rsidR="00110AF1" w:rsidRPr="001636EF">
        <w:t xml:space="preserve">: </w:t>
      </w:r>
      <w:r w:rsidR="003E1514" w:rsidRPr="001636EF">
        <w:t>evidence base to underpin Exceptional Referral Protocol</w:t>
      </w:r>
      <w:r w:rsidR="00324CBB" w:rsidRPr="001636EF">
        <w:t>.</w:t>
      </w:r>
    </w:p>
    <w:p w14:paraId="749D59FE" w14:textId="2AA39C24" w:rsidR="003E1514" w:rsidRPr="001636EF" w:rsidRDefault="00665F36" w:rsidP="00EB620C">
      <w:pPr>
        <w:pStyle w:val="Heading1"/>
      </w:pPr>
      <w:bookmarkStart w:id="2" w:name="_Toc197676461"/>
      <w:bookmarkStart w:id="3" w:name="_Toc182494402"/>
      <w:bookmarkStart w:id="4" w:name="_Toc182801996"/>
      <w:r w:rsidRPr="001636EF">
        <w:t>Questions</w:t>
      </w:r>
      <w:bookmarkEnd w:id="2"/>
    </w:p>
    <w:p w14:paraId="690D3651" w14:textId="7F05531C" w:rsidR="00665F36" w:rsidRPr="001636EF" w:rsidRDefault="00665F36" w:rsidP="00956572">
      <w:pPr>
        <w:pStyle w:val="ListParagraph"/>
      </w:pPr>
      <w:r w:rsidRPr="001636EF">
        <w:t xml:space="preserve">What does available evidence and guidance indicate are </w:t>
      </w:r>
      <w:r w:rsidRPr="001636EF">
        <w:rPr>
          <w:b/>
          <w:bCs/>
        </w:rPr>
        <w:t>appropriate referral criteria for this procedure</w:t>
      </w:r>
      <w:r w:rsidRPr="001636EF">
        <w:t>? Limit</w:t>
      </w:r>
      <w:r w:rsidR="009900DE">
        <w:t>ed</w:t>
      </w:r>
      <w:r w:rsidRPr="001636EF">
        <w:t xml:space="preserve"> to evidence and guidance relating to procedures that are not purely cosmetic in nature, most likely conducted using publicly funded or insurance-funded resources.</w:t>
      </w:r>
    </w:p>
    <w:p w14:paraId="3AE9AA07" w14:textId="1527F94B" w:rsidR="00665F36" w:rsidRPr="001636EF" w:rsidRDefault="00665F36" w:rsidP="00956572">
      <w:pPr>
        <w:pStyle w:val="ListParagraph"/>
      </w:pPr>
      <w:r w:rsidRPr="001636EF">
        <w:t xml:space="preserve">What types of </w:t>
      </w:r>
      <w:r w:rsidRPr="001636EF">
        <w:rPr>
          <w:b/>
          <w:bCs/>
        </w:rPr>
        <w:t>benefits</w:t>
      </w:r>
      <w:r w:rsidR="003B1908">
        <w:rPr>
          <w:b/>
          <w:bCs/>
        </w:rPr>
        <w:t>, risks and complications</w:t>
      </w:r>
      <w:r w:rsidRPr="001636EF">
        <w:t xml:space="preserve"> can arise from this procedure, and how likely are they?</w:t>
      </w:r>
    </w:p>
    <w:p w14:paraId="6EBD1779" w14:textId="39937083" w:rsidR="00351EDD" w:rsidRPr="001636EF" w:rsidRDefault="00665F36" w:rsidP="00956572">
      <w:pPr>
        <w:pStyle w:val="ListParagraph"/>
      </w:pPr>
      <w:r w:rsidRPr="001636EF">
        <w:t xml:space="preserve">What factors and </w:t>
      </w:r>
      <w:r w:rsidR="00E13846">
        <w:t>individual</w:t>
      </w:r>
      <w:r w:rsidRPr="001636EF">
        <w:t xml:space="preserve"> characteristics are the</w:t>
      </w:r>
      <w:r w:rsidRPr="001636EF">
        <w:rPr>
          <w:b/>
          <w:bCs/>
        </w:rPr>
        <w:t xml:space="preserve"> strongest predictors of benefit or risk </w:t>
      </w:r>
      <w:r w:rsidRPr="001636EF">
        <w:t>from this procedure?</w:t>
      </w:r>
    </w:p>
    <w:p w14:paraId="312C97E6" w14:textId="4B1E2187" w:rsidR="00665F36" w:rsidRPr="001636EF" w:rsidRDefault="00665F36" w:rsidP="00956572">
      <w:pPr>
        <w:pStyle w:val="ListParagraph"/>
      </w:pPr>
      <w:r w:rsidRPr="001636EF">
        <w:t xml:space="preserve">What factors and </w:t>
      </w:r>
      <w:r w:rsidR="00E13846">
        <w:t>individual</w:t>
      </w:r>
      <w:r w:rsidRPr="001636EF">
        <w:t xml:space="preserve"> characteristics are </w:t>
      </w:r>
      <w:r w:rsidRPr="001636EF">
        <w:rPr>
          <w:b/>
          <w:bCs/>
        </w:rPr>
        <w:t>contraindications</w:t>
      </w:r>
      <w:r w:rsidRPr="001636EF">
        <w:t>?</w:t>
      </w:r>
    </w:p>
    <w:p w14:paraId="14BF6FAB" w14:textId="1CB49941" w:rsidR="00E70AA2" w:rsidRPr="001636EF" w:rsidRDefault="00E70AA2" w:rsidP="00EB620C">
      <w:pPr>
        <w:pStyle w:val="Heading1"/>
      </w:pPr>
      <w:bookmarkStart w:id="5" w:name="_Toc197676462"/>
      <w:r w:rsidRPr="001636EF">
        <w:t>Method</w:t>
      </w:r>
      <w:r w:rsidR="005730D2" w:rsidRPr="001636EF">
        <w:t xml:space="preserve"> and </w:t>
      </w:r>
      <w:r w:rsidRPr="001636EF">
        <w:t>approach</w:t>
      </w:r>
      <w:bookmarkEnd w:id="3"/>
      <w:bookmarkEnd w:id="4"/>
      <w:bookmarkEnd w:id="5"/>
    </w:p>
    <w:p w14:paraId="1BCD62DF" w14:textId="4668C806" w:rsidR="00E96631" w:rsidRPr="001636EF" w:rsidRDefault="000B27B0" w:rsidP="00B15943">
      <w:r w:rsidRPr="001636EF">
        <w:t xml:space="preserve">We carried out systematic searches between January and February 2025 to identify systematic reviews, guidelines and other evidence-based reports. We limited searches to the past ten years and English language publications and websites. We screened the literature search results for relevance to the topic. </w:t>
      </w:r>
      <w:r w:rsidR="00D5243B">
        <w:t>Because of</w:t>
      </w:r>
      <w:r w:rsidRPr="001636EF">
        <w:t xml:space="preserve"> the high-level nature of the searches, there is the possibility that we did not include all relevant evidence. We used evidence from trusted </w:t>
      </w:r>
      <w:r w:rsidRPr="00E13846">
        <w:t xml:space="preserve">sources; however, we did not critically appraise the evidence. </w:t>
      </w:r>
      <w:r w:rsidR="00047A34" w:rsidRPr="00E13846">
        <w:t xml:space="preserve">The findings are summarised in </w:t>
      </w:r>
      <w:r w:rsidR="00E13846" w:rsidRPr="00E13846">
        <w:t>the following sections</w:t>
      </w:r>
      <w:r w:rsidR="00727C5B" w:rsidRPr="00E13846">
        <w:t>.</w:t>
      </w:r>
      <w:r w:rsidRPr="00E13846">
        <w:t xml:space="preserve"> </w:t>
      </w:r>
      <w:r w:rsidR="00075F6A" w:rsidRPr="00E13846">
        <w:t xml:space="preserve">Appendices </w:t>
      </w:r>
      <w:r w:rsidR="00482AB2" w:rsidRPr="00E13846">
        <w:t>1 and 2 detail</w:t>
      </w:r>
      <w:r w:rsidR="00A94953" w:rsidRPr="00E13846">
        <w:t xml:space="preserve"> the </w:t>
      </w:r>
      <w:r w:rsidR="001D2301" w:rsidRPr="00E13846">
        <w:t>searching and screening method and search strategy</w:t>
      </w:r>
      <w:r w:rsidR="00C54B80" w:rsidRPr="00E13846">
        <w:t>.</w:t>
      </w:r>
    </w:p>
    <w:p w14:paraId="15D85810" w14:textId="6215D217" w:rsidR="00AE7B08" w:rsidRDefault="00AE7B08" w:rsidP="00EB620C">
      <w:pPr>
        <w:pStyle w:val="Heading1"/>
      </w:pPr>
      <w:bookmarkStart w:id="6" w:name="_Toc197676463"/>
      <w:r w:rsidRPr="001636EF">
        <w:t>Referral criteria</w:t>
      </w:r>
      <w:bookmarkEnd w:id="6"/>
    </w:p>
    <w:p w14:paraId="4C25F48C" w14:textId="3E9D8F31" w:rsidR="00E5135C" w:rsidRPr="00D57CDE" w:rsidRDefault="00E5135C" w:rsidP="00903334">
      <w:r>
        <w:t>The 2024 Centre for Sustainable Delivery referral pathway for gynaecomastia</w:t>
      </w:r>
      <w:r w:rsidR="00D5243B">
        <w:t>,</w:t>
      </w:r>
      <w:r>
        <w:t xml:space="preserve"> published on the Right Decision Service platform</w:t>
      </w:r>
      <w:r w:rsidR="00D5243B">
        <w:t>,</w:t>
      </w:r>
      <w:r>
        <w:t xml:space="preserve"> summarises the consensus of the </w:t>
      </w:r>
      <w:r w:rsidR="5D9AB24B">
        <w:t xml:space="preserve">Symptomatic </w:t>
      </w:r>
      <w:r>
        <w:t>Breast Special</w:t>
      </w:r>
      <w:r w:rsidR="03524BFA">
        <w:t>i</w:t>
      </w:r>
      <w:r>
        <w:t>ty Delivery Group around referral principles.</w:t>
      </w:r>
      <w:r w:rsidR="7C152211" w:rsidRPr="5E9675D2">
        <w:rPr>
          <w:vertAlign w:val="superscript"/>
        </w:rPr>
        <w:t>1</w:t>
      </w:r>
    </w:p>
    <w:p w14:paraId="67237061" w14:textId="55AA374A" w:rsidR="00E5135C" w:rsidRPr="00D57CDE" w:rsidRDefault="00E5135C" w:rsidP="00903334">
      <w:pPr>
        <w:pStyle w:val="ListParagraph"/>
      </w:pPr>
      <w:r w:rsidRPr="00D57CDE">
        <w:t xml:space="preserve">Gynaecomastia is a breast manifestation of a systemic problem. Secondary care referral and investigation </w:t>
      </w:r>
      <w:r w:rsidR="00D5243B">
        <w:t>are</w:t>
      </w:r>
      <w:r w:rsidR="00D5243B" w:rsidRPr="00D57CDE">
        <w:t xml:space="preserve"> </w:t>
      </w:r>
      <w:r w:rsidRPr="00D57CDE">
        <w:t>not necessary in the vast majority of cases and variation in practice and overinvestigation are common.</w:t>
      </w:r>
    </w:p>
    <w:p w14:paraId="559B2B0E" w14:textId="77777777" w:rsidR="00E5135C" w:rsidRPr="00D57CDE" w:rsidRDefault="00E5135C" w:rsidP="00903334">
      <w:pPr>
        <w:pStyle w:val="ListParagraph"/>
      </w:pPr>
      <w:r w:rsidRPr="00D57CDE">
        <w:t>Breast lumps in men (rather than generalised swelling of the breast tissue) require specific investigation.</w:t>
      </w:r>
    </w:p>
    <w:p w14:paraId="3CCF8E8E" w14:textId="058C54A1" w:rsidR="00E5135C" w:rsidRPr="00D57CDE" w:rsidRDefault="00E5135C" w:rsidP="00903334">
      <w:r w:rsidRPr="00D57CDE">
        <w:t>It notes that surgery for cosmesis is through the exceptional aesthetic referral pathway.</w:t>
      </w:r>
    </w:p>
    <w:p w14:paraId="019CA898" w14:textId="1F1C19D4" w:rsidR="00E5135C" w:rsidRPr="00D57CDE" w:rsidRDefault="00E5135C" w:rsidP="00491DEC">
      <w:r>
        <w:t>The NHS Modernisation Agency and the British Association of Plastic, Reconstructive and Aesthetic Surgeons (BAPRAS)</w:t>
      </w:r>
      <w:r w:rsidRPr="5E9675D2">
        <w:rPr>
          <w:vertAlign w:val="superscript"/>
        </w:rPr>
        <w:t xml:space="preserve"> </w:t>
      </w:r>
      <w:r>
        <w:t xml:space="preserve">published referral guidelines in 2005–2006 that advised that surgery for breast reduction for gynaecomastia in males was allowable if the </w:t>
      </w:r>
      <w:r w:rsidR="00502D76">
        <w:t>individual</w:t>
      </w:r>
      <w:r>
        <w:t xml:space="preserve"> was </w:t>
      </w:r>
      <w:r>
        <w:lastRenderedPageBreak/>
        <w:t>postpubertal and of normal Body Mass Index (BMI), that is 25 kg/m</w:t>
      </w:r>
      <w:r w:rsidRPr="5E9675D2">
        <w:rPr>
          <w:vertAlign w:val="superscript"/>
        </w:rPr>
        <w:t>2</w:t>
      </w:r>
      <w:r>
        <w:t xml:space="preserve"> or less.</w:t>
      </w:r>
      <w:r w:rsidR="4B855563" w:rsidRPr="5E9675D2">
        <w:rPr>
          <w:vertAlign w:val="superscript"/>
        </w:rPr>
        <w:t>2</w:t>
      </w:r>
      <w:r>
        <w:t xml:space="preserve"> The guidance noted that liposuction may form part of the treatment plan for this condition.</w:t>
      </w:r>
    </w:p>
    <w:p w14:paraId="71FC7BE0" w14:textId="7E17F1F0" w:rsidR="00E5135C" w:rsidRPr="00D57CDE" w:rsidRDefault="00E5135C" w:rsidP="00491DEC">
      <w:r w:rsidRPr="00D57CDE">
        <w:t xml:space="preserve">This </w:t>
      </w:r>
      <w:r>
        <w:t xml:space="preserve">BAPRAS </w:t>
      </w:r>
      <w:r w:rsidRPr="00D57CDE">
        <w:t>guidance further recommended that a pathway should be established to ensure that appropriate screening for endocrinological and drug</w:t>
      </w:r>
      <w:r w:rsidR="00D5243B">
        <w:t>-</w:t>
      </w:r>
      <w:r w:rsidRPr="00D57CDE">
        <w:t>related causes or psychological distress occurs prior to consultation with a plastic surgeon.</w:t>
      </w:r>
    </w:p>
    <w:p w14:paraId="7E29241A" w14:textId="0FC6BC72" w:rsidR="00E5135C" w:rsidRPr="00D57CDE" w:rsidRDefault="00E5135C" w:rsidP="00491DEC">
      <w:r>
        <w:t>Summary guidance from the Association of Breast Surgery (2021) sets out referral criteria and prereferral investigations to be carried out.</w:t>
      </w:r>
      <w:r w:rsidR="79FA08C4" w:rsidRPr="5E9675D2">
        <w:rPr>
          <w:vertAlign w:val="superscript"/>
        </w:rPr>
        <w:t>3</w:t>
      </w:r>
      <w:r>
        <w:t xml:space="preserve"> It notes that decisions on surgical removal are a matter for local Clinical Commissioning Group guidance and provides a helpful outline of the preliminary work-up</w:t>
      </w:r>
      <w:r w:rsidR="00FA6E42">
        <w:t xml:space="preserve"> required</w:t>
      </w:r>
      <w:r>
        <w:t xml:space="preserve"> prior to deciding on</w:t>
      </w:r>
      <w:r w:rsidR="00D5243B">
        <w:t xml:space="preserve"> the</w:t>
      </w:r>
      <w:r>
        <w:t xml:space="preserve"> referral route. The guidance recommends that in primary care the following investigations should be undertaken prior to referral:</w:t>
      </w:r>
    </w:p>
    <w:p w14:paraId="0B5AFC33" w14:textId="0D78AE8A" w:rsidR="00E5135C" w:rsidRPr="00D57CDE" w:rsidRDefault="00E5135C" w:rsidP="00E5135C">
      <w:pPr>
        <w:rPr>
          <w:rFonts w:cstheme="minorHAnsi"/>
          <w:b/>
          <w:bCs/>
        </w:rPr>
      </w:pPr>
      <w:r w:rsidRPr="00D57CDE">
        <w:rPr>
          <w:rFonts w:cstheme="minorHAnsi"/>
          <w:b/>
          <w:bCs/>
        </w:rPr>
        <w:t>History to include:</w:t>
      </w:r>
    </w:p>
    <w:p w14:paraId="3C89E2A8" w14:textId="77777777" w:rsidR="00E5135C" w:rsidRPr="00903334" w:rsidRDefault="00E5135C" w:rsidP="00903334">
      <w:pPr>
        <w:pStyle w:val="ListParagraph"/>
      </w:pPr>
      <w:r w:rsidRPr="00D57CDE">
        <w:t xml:space="preserve">prescribed </w:t>
      </w:r>
      <w:r w:rsidRPr="00903334">
        <w:t>medications</w:t>
      </w:r>
    </w:p>
    <w:p w14:paraId="10C90E5E" w14:textId="77777777" w:rsidR="00E5135C" w:rsidRPr="00903334" w:rsidRDefault="00E5135C" w:rsidP="00903334">
      <w:pPr>
        <w:pStyle w:val="ListParagraph"/>
      </w:pPr>
      <w:r w:rsidRPr="00903334">
        <w:t>recreational drug use</w:t>
      </w:r>
    </w:p>
    <w:p w14:paraId="0C38DCA1" w14:textId="2E3A2412" w:rsidR="00E5135C" w:rsidRPr="00903334" w:rsidRDefault="00E5135C" w:rsidP="00903334">
      <w:pPr>
        <w:pStyle w:val="ListParagraph"/>
      </w:pPr>
      <w:r w:rsidRPr="00903334">
        <w:t>current and previous alcohol consumption</w:t>
      </w:r>
      <w:r w:rsidR="005D1CB8">
        <w:t>, and</w:t>
      </w:r>
    </w:p>
    <w:p w14:paraId="7C74D3F7" w14:textId="69CC985B" w:rsidR="00E5135C" w:rsidRPr="00D57CDE" w:rsidRDefault="00E5135C" w:rsidP="00903334">
      <w:pPr>
        <w:pStyle w:val="ListParagraph"/>
      </w:pPr>
      <w:r w:rsidRPr="00903334">
        <w:t>chest wall examination</w:t>
      </w:r>
      <w:r w:rsidR="007F66C8">
        <w:t>–</w:t>
      </w:r>
      <w:r w:rsidRPr="00D57CDE">
        <w:t>bilateral breasts</w:t>
      </w:r>
      <w:r>
        <w:t>.</w:t>
      </w:r>
    </w:p>
    <w:p w14:paraId="28F4B5E0" w14:textId="77777777" w:rsidR="00E5135C" w:rsidRPr="00D57CDE" w:rsidRDefault="00E5135C" w:rsidP="00E5135C">
      <w:pPr>
        <w:rPr>
          <w:rFonts w:cstheme="minorHAnsi"/>
          <w:b/>
          <w:bCs/>
        </w:rPr>
      </w:pPr>
      <w:r w:rsidRPr="00D57CDE">
        <w:rPr>
          <w:rFonts w:cstheme="minorHAnsi"/>
          <w:b/>
          <w:bCs/>
        </w:rPr>
        <w:t>Do not investigate:</w:t>
      </w:r>
    </w:p>
    <w:p w14:paraId="4EF211B0" w14:textId="77777777" w:rsidR="00E5135C" w:rsidRPr="00903334" w:rsidRDefault="00E5135C" w:rsidP="00903334">
      <w:pPr>
        <w:pStyle w:val="ListParagraph"/>
      </w:pPr>
      <w:r w:rsidRPr="00D57CDE">
        <w:t xml:space="preserve">adolescents with </w:t>
      </w:r>
      <w:r w:rsidRPr="00903334">
        <w:t>physiological pubertal gynaecomastia</w:t>
      </w:r>
    </w:p>
    <w:p w14:paraId="379D796F" w14:textId="77777777" w:rsidR="00E5135C" w:rsidRPr="00903334" w:rsidRDefault="00E5135C" w:rsidP="00903334">
      <w:pPr>
        <w:pStyle w:val="ListParagraph"/>
      </w:pPr>
      <w:r w:rsidRPr="00903334">
        <w:t>elderly men with senile gynaecomastia</w:t>
      </w:r>
    </w:p>
    <w:p w14:paraId="2F4871C4" w14:textId="77A97F24" w:rsidR="00E5135C" w:rsidRPr="00903334" w:rsidRDefault="00E5135C" w:rsidP="00903334">
      <w:pPr>
        <w:pStyle w:val="ListParagraph"/>
      </w:pPr>
      <w:r w:rsidRPr="00903334">
        <w:t>men with a drug</w:t>
      </w:r>
      <w:r w:rsidR="00D5243B">
        <w:t>-</w:t>
      </w:r>
      <w:r w:rsidRPr="00903334">
        <w:t>related cause (prescribed medication or recreational drug use)</w:t>
      </w:r>
    </w:p>
    <w:p w14:paraId="094128E6" w14:textId="516E7CF1" w:rsidR="00E5135C" w:rsidRPr="00903334" w:rsidRDefault="00E5135C" w:rsidP="00903334">
      <w:pPr>
        <w:pStyle w:val="ListParagraph"/>
      </w:pPr>
      <w:r w:rsidRPr="00903334">
        <w:t>men with obvious breast cancer</w:t>
      </w:r>
      <w:r w:rsidR="005D1CB8">
        <w:t>, or</w:t>
      </w:r>
    </w:p>
    <w:p w14:paraId="23CAB7FA" w14:textId="68FDCC0C" w:rsidR="00E5135C" w:rsidRPr="00D57CDE" w:rsidRDefault="00E5135C" w:rsidP="00903334">
      <w:pPr>
        <w:pStyle w:val="ListParagraph"/>
      </w:pPr>
      <w:r w:rsidRPr="00903334">
        <w:t>men with fatty pseudogynaecomastia</w:t>
      </w:r>
      <w:r>
        <w:t>.</w:t>
      </w:r>
    </w:p>
    <w:p w14:paraId="3300C30B" w14:textId="77777777" w:rsidR="00E5135C" w:rsidRPr="00D57CDE" w:rsidRDefault="00E5135C" w:rsidP="00E5135C">
      <w:pPr>
        <w:rPr>
          <w:rFonts w:cstheme="minorHAnsi"/>
          <w:b/>
          <w:bCs/>
        </w:rPr>
      </w:pPr>
      <w:r w:rsidRPr="00D57CDE">
        <w:rPr>
          <w:rFonts w:cstheme="minorHAnsi"/>
          <w:b/>
          <w:bCs/>
        </w:rPr>
        <w:t>Do investigate:</w:t>
      </w:r>
    </w:p>
    <w:p w14:paraId="3F4752F0" w14:textId="77777777" w:rsidR="00E5135C" w:rsidRPr="00903334" w:rsidRDefault="00E5135C" w:rsidP="00903334">
      <w:pPr>
        <w:pStyle w:val="ListParagraph"/>
      </w:pPr>
      <w:r w:rsidRPr="00D57CDE">
        <w:t xml:space="preserve">eccentric </w:t>
      </w:r>
      <w:r w:rsidRPr="00903334">
        <w:t>hard masses</w:t>
      </w:r>
    </w:p>
    <w:p w14:paraId="2E45A824" w14:textId="77777777" w:rsidR="00E5135C" w:rsidRPr="00903334" w:rsidRDefault="00E5135C" w:rsidP="00903334">
      <w:pPr>
        <w:pStyle w:val="ListParagraph"/>
      </w:pPr>
      <w:r w:rsidRPr="00903334">
        <w:t>rapid enlargement</w:t>
      </w:r>
    </w:p>
    <w:p w14:paraId="41503695" w14:textId="77777777" w:rsidR="00E5135C" w:rsidRPr="00903334" w:rsidRDefault="00E5135C" w:rsidP="00903334">
      <w:pPr>
        <w:pStyle w:val="ListParagraph"/>
      </w:pPr>
      <w:r w:rsidRPr="00903334">
        <w:t>recent onset in lean men older than 20 years</w:t>
      </w:r>
    </w:p>
    <w:p w14:paraId="3D4AD33D" w14:textId="77777777" w:rsidR="00E5135C" w:rsidRPr="00903334" w:rsidRDefault="00E5135C" w:rsidP="00903334">
      <w:pPr>
        <w:pStyle w:val="ListParagraph"/>
      </w:pPr>
      <w:r w:rsidRPr="00903334">
        <w:t>persistent painful gynaecomastia</w:t>
      </w:r>
    </w:p>
    <w:p w14:paraId="7A968E38" w14:textId="392CF1DD" w:rsidR="00E5135C" w:rsidRPr="00903334" w:rsidRDefault="00E5135C" w:rsidP="00903334">
      <w:pPr>
        <w:pStyle w:val="ListParagraph"/>
      </w:pPr>
      <w:r w:rsidRPr="00903334">
        <w:t>massive gynaecomastia in adolescents</w:t>
      </w:r>
      <w:r w:rsidR="005D1CB8">
        <w:t>, and</w:t>
      </w:r>
    </w:p>
    <w:p w14:paraId="7CDAE9FC" w14:textId="6B89E543" w:rsidR="00E5135C" w:rsidRPr="00D57CDE" w:rsidRDefault="00E5135C" w:rsidP="00903334">
      <w:pPr>
        <w:pStyle w:val="ListParagraph"/>
      </w:pPr>
      <w:r w:rsidRPr="00903334">
        <w:t>persistent gynaecomastia</w:t>
      </w:r>
      <w:r w:rsidRPr="00D57CDE">
        <w:t xml:space="preserve"> in adolescents, duration of more than 18</w:t>
      </w:r>
      <w:r>
        <w:t xml:space="preserve"> </w:t>
      </w:r>
      <w:r w:rsidRPr="00D57CDE">
        <w:t>months</w:t>
      </w:r>
      <w:r>
        <w:t>.</w:t>
      </w:r>
    </w:p>
    <w:p w14:paraId="754F5B42" w14:textId="77777777" w:rsidR="00E5135C" w:rsidRPr="00D57CDE" w:rsidRDefault="00E5135C" w:rsidP="00E5135C">
      <w:pPr>
        <w:rPr>
          <w:rFonts w:cstheme="minorHAnsi"/>
          <w:b/>
          <w:bCs/>
        </w:rPr>
      </w:pPr>
      <w:r w:rsidRPr="00D57CDE">
        <w:rPr>
          <w:rFonts w:cstheme="minorHAnsi"/>
          <w:b/>
          <w:bCs/>
        </w:rPr>
        <w:t>When and where to refer:</w:t>
      </w:r>
    </w:p>
    <w:p w14:paraId="006CF6C8" w14:textId="242D33AD" w:rsidR="00E5135C" w:rsidRPr="00903334" w:rsidRDefault="00E5135C" w:rsidP="00903334">
      <w:pPr>
        <w:pStyle w:val="ListParagraph"/>
      </w:pPr>
      <w:r w:rsidRPr="00903334">
        <w:t>abnormal endocrine (hormonal) blood results should be referred to the medical endocrinology clinic</w:t>
      </w:r>
    </w:p>
    <w:p w14:paraId="6F43F73F" w14:textId="4073D1C7" w:rsidR="00E5135C" w:rsidRPr="00903334" w:rsidRDefault="00E5135C" w:rsidP="00903334">
      <w:pPr>
        <w:pStyle w:val="ListParagraph"/>
      </w:pPr>
      <w:r w:rsidRPr="00903334">
        <w:t xml:space="preserve">abnormal </w:t>
      </w:r>
      <w:r w:rsidR="00D5243B">
        <w:t>b</w:t>
      </w:r>
      <w:r w:rsidR="00D5243B" w:rsidRPr="00903334">
        <w:t>eta</w:t>
      </w:r>
      <w:r w:rsidR="00093B31">
        <w:t>-</w:t>
      </w:r>
      <w:r w:rsidR="00D5243B">
        <w:t>h</w:t>
      </w:r>
      <w:r w:rsidR="00D5243B" w:rsidRPr="00903334">
        <w:t xml:space="preserve">uman </w:t>
      </w:r>
      <w:r w:rsidR="00D5243B">
        <w:t>c</w:t>
      </w:r>
      <w:r w:rsidR="00D5243B" w:rsidRPr="00903334">
        <w:t xml:space="preserve">horionic </w:t>
      </w:r>
      <w:r w:rsidR="00D5243B">
        <w:t>g</w:t>
      </w:r>
      <w:r w:rsidR="00D5243B" w:rsidRPr="00903334">
        <w:t>onadotropin</w:t>
      </w:r>
      <w:r w:rsidR="00D5243B">
        <w:t xml:space="preserve"> (β</w:t>
      </w:r>
      <w:r w:rsidR="00093B31">
        <w:t>h</w:t>
      </w:r>
      <w:r w:rsidR="00D5243B">
        <w:t xml:space="preserve">CG) </w:t>
      </w:r>
      <w:r w:rsidRPr="00903334">
        <w:t>or alpha-fetoprotein (αFP) blood results or abnormal finding</w:t>
      </w:r>
      <w:r w:rsidR="00093B31">
        <w:t>s</w:t>
      </w:r>
      <w:r w:rsidRPr="00903334">
        <w:t xml:space="preserve"> on testicular ultrasound scan should be referred urgently to the urology clinic</w:t>
      </w:r>
    </w:p>
    <w:p w14:paraId="1D712C9E" w14:textId="77777777" w:rsidR="00E5135C" w:rsidRPr="00D57CDE" w:rsidRDefault="00E5135C" w:rsidP="00903334">
      <w:pPr>
        <w:pStyle w:val="ListParagraph"/>
      </w:pPr>
      <w:r w:rsidRPr="00903334">
        <w:t>referral</w:t>
      </w:r>
      <w:r w:rsidRPr="00D57CDE">
        <w:t xml:space="preserve"> directly to the breast unit in the presence of the following clinical scenarios should be considered</w:t>
      </w:r>
      <w:r>
        <w:t>:</w:t>
      </w:r>
    </w:p>
    <w:p w14:paraId="19C96AAA" w14:textId="0B273D3C" w:rsidR="00E5135C" w:rsidRPr="00903334" w:rsidRDefault="00E5135C" w:rsidP="00D90ED9">
      <w:pPr>
        <w:pStyle w:val="ListParagraph"/>
        <w:numPr>
          <w:ilvl w:val="1"/>
          <w:numId w:val="1"/>
        </w:numPr>
      </w:pPr>
      <w:r w:rsidRPr="00903334">
        <w:t>clinical suspicion of malignancy</w:t>
      </w:r>
    </w:p>
    <w:p w14:paraId="5F0DB740" w14:textId="7B64EBF4" w:rsidR="00E5135C" w:rsidRPr="00903334" w:rsidRDefault="00E5135C" w:rsidP="00D90ED9">
      <w:pPr>
        <w:pStyle w:val="ListParagraph"/>
        <w:numPr>
          <w:ilvl w:val="1"/>
          <w:numId w:val="1"/>
        </w:numPr>
      </w:pPr>
      <w:r w:rsidRPr="00903334">
        <w:t>males over age 50 with unilateral firm sub</w:t>
      </w:r>
      <w:r w:rsidR="00FC60AD">
        <w:t>areolar</w:t>
      </w:r>
      <w:r w:rsidRPr="00903334">
        <w:t xml:space="preserve"> mass with or without nipple discharge or with associated skin change</w:t>
      </w:r>
    </w:p>
    <w:p w14:paraId="2C3BF4A2" w14:textId="092B189C" w:rsidR="00E5135C" w:rsidRPr="00903334" w:rsidRDefault="00E5135C" w:rsidP="00D90ED9">
      <w:pPr>
        <w:pStyle w:val="ListParagraph"/>
        <w:numPr>
          <w:ilvl w:val="1"/>
          <w:numId w:val="1"/>
        </w:numPr>
      </w:pPr>
      <w:r w:rsidRPr="00903334">
        <w:t>bloody nipple discharge</w:t>
      </w:r>
      <w:r w:rsidR="0043680B">
        <w:t>, and</w:t>
      </w:r>
    </w:p>
    <w:p w14:paraId="1324B14A" w14:textId="69BCE294" w:rsidR="00E5135C" w:rsidRPr="00D57CDE" w:rsidRDefault="00E5135C" w:rsidP="00D90ED9">
      <w:pPr>
        <w:pStyle w:val="ListParagraph"/>
        <w:numPr>
          <w:ilvl w:val="1"/>
          <w:numId w:val="1"/>
        </w:numPr>
      </w:pPr>
      <w:r w:rsidRPr="00903334">
        <w:t>unilateral</w:t>
      </w:r>
      <w:r w:rsidRPr="00D57CDE">
        <w:t xml:space="preserve"> ulceration of the nipple</w:t>
      </w:r>
      <w:r>
        <w:t>.</w:t>
      </w:r>
    </w:p>
    <w:p w14:paraId="01B20D79" w14:textId="77777777" w:rsidR="00E5135C" w:rsidRPr="00D57CDE" w:rsidRDefault="00E5135C" w:rsidP="00E5135C">
      <w:pPr>
        <w:rPr>
          <w:rFonts w:cstheme="minorHAnsi"/>
          <w:b/>
          <w:bCs/>
        </w:rPr>
      </w:pPr>
      <w:r w:rsidRPr="00D57CDE">
        <w:rPr>
          <w:rFonts w:cstheme="minorHAnsi"/>
          <w:b/>
          <w:bCs/>
        </w:rPr>
        <w:t>Urgent referral is appropriate in the instance of:</w:t>
      </w:r>
    </w:p>
    <w:p w14:paraId="26BB872B" w14:textId="0E4D3A2F" w:rsidR="00E5135C" w:rsidRPr="00903334" w:rsidRDefault="00E5135C" w:rsidP="00903334">
      <w:pPr>
        <w:pStyle w:val="ListParagraph"/>
      </w:pPr>
      <w:r w:rsidRPr="00D57CDE">
        <w:t xml:space="preserve">unilateral lump with no </w:t>
      </w:r>
      <w:r w:rsidRPr="00903334">
        <w:t>obvious physiological or drug cause</w:t>
      </w:r>
    </w:p>
    <w:p w14:paraId="033D368C" w14:textId="43BDDE90" w:rsidR="00E5135C" w:rsidRPr="00903334" w:rsidRDefault="00E5135C" w:rsidP="00903334">
      <w:pPr>
        <w:pStyle w:val="ListParagraph"/>
      </w:pPr>
      <w:r w:rsidRPr="00903334">
        <w:t>increased risk–family history</w:t>
      </w:r>
    </w:p>
    <w:p w14:paraId="5E624CA2" w14:textId="0AD593E5" w:rsidR="00E5135C" w:rsidRPr="00903334" w:rsidRDefault="00E5135C" w:rsidP="00903334">
      <w:pPr>
        <w:pStyle w:val="ListParagraph"/>
      </w:pPr>
      <w:r w:rsidRPr="00903334">
        <w:t>genetic conditions, for example</w:t>
      </w:r>
      <w:r w:rsidR="00093B31">
        <w:t>,</w:t>
      </w:r>
      <w:r w:rsidRPr="00903334">
        <w:t xml:space="preserve"> Klinefelter’s syndrome</w:t>
      </w:r>
      <w:r w:rsidR="0043680B">
        <w:t>, and</w:t>
      </w:r>
    </w:p>
    <w:p w14:paraId="7C22D065" w14:textId="77777777" w:rsidR="00E5135C" w:rsidRPr="00903334" w:rsidRDefault="00E5135C" w:rsidP="00903334">
      <w:pPr>
        <w:pStyle w:val="ListParagraph"/>
      </w:pPr>
      <w:r w:rsidRPr="00903334">
        <w:t>persistent painful gynaecomastia of greater than 6 months duration with normal blood tests.</w:t>
      </w:r>
    </w:p>
    <w:p w14:paraId="5EA1B8F6" w14:textId="5C2B09F1" w:rsidR="00E5135C" w:rsidRPr="00D57CDE" w:rsidRDefault="00E5135C" w:rsidP="0043680B">
      <w:r>
        <w:t>A paper in the British Journal of General Practice by Bromley et al. (2021)</w:t>
      </w:r>
      <w:r w:rsidR="15ECF020">
        <w:t>,</w:t>
      </w:r>
      <w:r w:rsidR="15ECF020" w:rsidRPr="5E9675D2">
        <w:rPr>
          <w:vertAlign w:val="superscript"/>
        </w:rPr>
        <w:t>4</w:t>
      </w:r>
      <w:r>
        <w:t xml:space="preserve"> offering guidance to general practice staff in the UK, is largely based on the Association of Breast Surgery guidelines</w:t>
      </w:r>
      <w:r w:rsidR="5BFD0E8A">
        <w:t xml:space="preserve"> </w:t>
      </w:r>
      <w:r>
        <w:t>above.</w:t>
      </w:r>
      <w:r w:rsidR="4EE23E50" w:rsidRPr="5E9675D2">
        <w:rPr>
          <w:vertAlign w:val="superscript"/>
        </w:rPr>
        <w:t>3</w:t>
      </w:r>
      <w:r>
        <w:t xml:space="preserve"> It also provides the following criteria </w:t>
      </w:r>
      <w:r w:rsidR="00093B31">
        <w:t xml:space="preserve">for referral </w:t>
      </w:r>
      <w:r>
        <w:t xml:space="preserve"> from primary care to rapid access breast clinics:</w:t>
      </w:r>
    </w:p>
    <w:p w14:paraId="7D41A262" w14:textId="66100AB5" w:rsidR="00E5135C" w:rsidRPr="0043680B" w:rsidRDefault="00E5135C" w:rsidP="0043680B">
      <w:pPr>
        <w:pStyle w:val="ListParagraph"/>
      </w:pPr>
      <w:r w:rsidRPr="00D57CDE">
        <w:t xml:space="preserve">any </w:t>
      </w:r>
      <w:r w:rsidRPr="0043680B">
        <w:t>clinical suspicion of breast malignancy</w:t>
      </w:r>
    </w:p>
    <w:p w14:paraId="59FF94D1" w14:textId="1077BE23" w:rsidR="00E5135C" w:rsidRPr="0043680B" w:rsidRDefault="00E5135C" w:rsidP="0043680B">
      <w:pPr>
        <w:pStyle w:val="ListParagraph"/>
      </w:pPr>
      <w:r w:rsidRPr="0043680B">
        <w:t>persistent painful gynaecomastia greater than 6 months duration with normal blood tests</w:t>
      </w:r>
      <w:r w:rsidR="00475FB0">
        <w:t>,</w:t>
      </w:r>
      <w:r w:rsidRPr="0043680B">
        <w:t xml:space="preserve"> </w:t>
      </w:r>
      <w:r w:rsidR="00475FB0">
        <w:t>or</w:t>
      </w:r>
    </w:p>
    <w:p w14:paraId="3CFD02A6" w14:textId="7A294EBE" w:rsidR="00E5135C" w:rsidRPr="00D57CDE" w:rsidRDefault="00E5135C" w:rsidP="0043680B">
      <w:pPr>
        <w:pStyle w:val="ListParagraph"/>
      </w:pPr>
      <w:r w:rsidRPr="0043680B">
        <w:t>a unilateral</w:t>
      </w:r>
      <w:r w:rsidRPr="00D57CDE">
        <w:t xml:space="preserve"> lump with no obvious physiological or drug</w:t>
      </w:r>
      <w:r w:rsidR="00093B31">
        <w:t>-</w:t>
      </w:r>
      <w:r w:rsidRPr="00D57CDE">
        <w:t>induced cause, a family history of breast cancer, or genetic predisposition (Klinefelter’s</w:t>
      </w:r>
      <w:r>
        <w:t xml:space="preserve"> syndrome</w:t>
      </w:r>
      <w:r w:rsidRPr="00D57CDE">
        <w:t>).</w:t>
      </w:r>
    </w:p>
    <w:p w14:paraId="515B6349" w14:textId="0EA12B1B" w:rsidR="00E5135C" w:rsidRPr="00D57CDE" w:rsidRDefault="00E5135C" w:rsidP="0043680B">
      <w:r w:rsidRPr="00D57CDE">
        <w:t xml:space="preserve">Patients with physiological gynaecomastia or pseudogynaecomastia may be safely reassured and </w:t>
      </w:r>
      <w:r w:rsidR="00093B31">
        <w:t>advised</w:t>
      </w:r>
      <w:r w:rsidRPr="00D57CDE">
        <w:t xml:space="preserve"> on maintaining a healthy</w:t>
      </w:r>
      <w:r>
        <w:t xml:space="preserve"> BMI</w:t>
      </w:r>
      <w:r w:rsidRPr="00D57CDE">
        <w:t>. If breast enlargement has developed secondary to an underlying condition,  management should be directed toward the underlying illness, such as adequate thyroid, renal or liver function. Drug</w:t>
      </w:r>
      <w:r w:rsidR="00093B31">
        <w:t>-</w:t>
      </w:r>
      <w:r w:rsidRPr="00D57CDE">
        <w:t>induced gynaecomastia may be managed through stopping the causal precipitant or trying an alternative medication.</w:t>
      </w:r>
    </w:p>
    <w:p w14:paraId="39FCBE36" w14:textId="7B04A5DC" w:rsidR="00E5135C" w:rsidRPr="00D57CDE" w:rsidRDefault="00E5135C" w:rsidP="5E9675D2">
      <w:pPr>
        <w:shd w:val="clear" w:color="auto" w:fill="FFFFFF" w:themeFill="background1"/>
      </w:pPr>
      <w:r>
        <w:t xml:space="preserve">The European </w:t>
      </w:r>
      <w:r w:rsidR="13742EA8">
        <w:t xml:space="preserve">Academy </w:t>
      </w:r>
      <w:r>
        <w:t xml:space="preserve">of Andrology </w:t>
      </w:r>
      <w:r w:rsidR="00251507">
        <w:t xml:space="preserve">(EAA) </w:t>
      </w:r>
      <w:r w:rsidR="00A21393">
        <w:t xml:space="preserve">2019 </w:t>
      </w:r>
      <w:r>
        <w:t>Guidelines suggest surgical treatment only for patients with long</w:t>
      </w:r>
      <w:r w:rsidR="00093B31">
        <w:t>-</w:t>
      </w:r>
      <w:r>
        <w:t>lasting gynaecomastia, which does not regress spontaneously or following medical therapy.</w:t>
      </w:r>
      <w:r w:rsidR="4922B9F2" w:rsidRPr="5E9675D2">
        <w:rPr>
          <w:vertAlign w:val="superscript"/>
        </w:rPr>
        <w:t>5</w:t>
      </w:r>
      <w:r>
        <w:t xml:space="preserve"> The extent and type of surgery depend on the size of breast enlargement and the amount of adipose tissue. These guidelines note that only a small proportion of patients with gynaecomastia will need</w:t>
      </w:r>
      <w:r w:rsidRPr="5E9675D2">
        <w:rPr>
          <w:rFonts w:ascii="Aptos" w:hAnsi="Aptos"/>
        </w:rPr>
        <w:t xml:space="preserve"> </w:t>
      </w:r>
      <w:r>
        <w:t xml:space="preserve">surgical treatment, and that surgery should not be offered until after an observation period. They </w:t>
      </w:r>
      <w:r w:rsidR="00093B31">
        <w:t xml:space="preserve">emphasise </w:t>
      </w:r>
      <w:r>
        <w:t xml:space="preserve">that </w:t>
      </w:r>
      <w:r w:rsidR="00731C12">
        <w:t>most</w:t>
      </w:r>
      <w:r>
        <w:t xml:space="preserve"> patients either will experience spontaneous regression or will receive alternative treatment that will relieve the underlying pathology.</w:t>
      </w:r>
    </w:p>
    <w:p w14:paraId="3019FD87" w14:textId="25118EF2" w:rsidR="00E5135C" w:rsidRPr="00D57CDE" w:rsidRDefault="00E5135C" w:rsidP="5E9675D2">
      <w:pPr>
        <w:rPr>
          <w:rFonts w:cstheme="minorBidi"/>
        </w:rPr>
      </w:pPr>
      <w:r w:rsidRPr="5E9675D2">
        <w:rPr>
          <w:rFonts w:cstheme="minorBidi"/>
        </w:rPr>
        <w:t>The 2024 B</w:t>
      </w:r>
      <w:r w:rsidR="00335577" w:rsidRPr="5E9675D2">
        <w:rPr>
          <w:rFonts w:cstheme="minorBidi"/>
        </w:rPr>
        <w:t>ritish Medical Journal (BMJ)</w:t>
      </w:r>
      <w:r w:rsidRPr="5E9675D2">
        <w:rPr>
          <w:rFonts w:cstheme="minorBidi"/>
        </w:rPr>
        <w:t xml:space="preserve"> Best Practice evidence overview summarises indications for surgery as detailed below</w:t>
      </w:r>
      <w:r w:rsidR="56B08FEF" w:rsidRPr="5E9675D2">
        <w:rPr>
          <w:rFonts w:cstheme="minorBidi"/>
        </w:rPr>
        <w:t>:</w:t>
      </w:r>
      <w:r w:rsidR="2F8F9B09" w:rsidRPr="5E9675D2">
        <w:rPr>
          <w:rFonts w:cstheme="minorBidi"/>
          <w:vertAlign w:val="superscript"/>
        </w:rPr>
        <w:t>6</w:t>
      </w:r>
    </w:p>
    <w:p w14:paraId="701FEAB3" w14:textId="77777777" w:rsidR="00E5135C" w:rsidRPr="0043680B" w:rsidRDefault="00E5135C" w:rsidP="0043680B">
      <w:pPr>
        <w:pStyle w:val="ListParagraph"/>
      </w:pPr>
      <w:r w:rsidRPr="00D57CDE">
        <w:t xml:space="preserve">A comprehensive work-up should be performed before surgery to exclude an underlying cause; surgical treatment should not be considered until an observation period </w:t>
      </w:r>
      <w:r w:rsidRPr="0043680B">
        <w:t>has been allowed.</w:t>
      </w:r>
    </w:p>
    <w:p w14:paraId="137BB9E2" w14:textId="7C5BEB38" w:rsidR="00E5135C" w:rsidRPr="00D57CDE" w:rsidRDefault="00E5135C" w:rsidP="0043680B">
      <w:pPr>
        <w:pStyle w:val="ListParagraph"/>
      </w:pPr>
      <w:r w:rsidRPr="0043680B">
        <w:t>Patients with long</w:t>
      </w:r>
      <w:r w:rsidR="00093B31">
        <w:t>-</w:t>
      </w:r>
      <w:r w:rsidRPr="0043680B">
        <w:t>lasting gynaecomastia that fails to regress following medical therapy, or</w:t>
      </w:r>
      <w:r w:rsidRPr="00D57CDE">
        <w:t xml:space="preserve"> in whom there is continuing significant pain or psychological distress, may be candidates for surgery.</w:t>
      </w:r>
    </w:p>
    <w:p w14:paraId="0C96D976" w14:textId="68C6730B" w:rsidR="00E5135C" w:rsidRPr="00D57CDE" w:rsidRDefault="00E5135C" w:rsidP="00E5135C">
      <w:pPr>
        <w:rPr>
          <w:rFonts w:cstheme="minorHAnsi"/>
        </w:rPr>
      </w:pPr>
      <w:r w:rsidRPr="00D57CDE">
        <w:rPr>
          <w:rFonts w:cstheme="minorHAnsi"/>
        </w:rPr>
        <w:t xml:space="preserve">An evidence overview published by </w:t>
      </w:r>
      <w:r>
        <w:rPr>
          <w:rFonts w:cstheme="minorHAnsi"/>
        </w:rPr>
        <w:t>DynaMed</w:t>
      </w:r>
      <w:r w:rsidRPr="00D57CDE">
        <w:rPr>
          <w:rFonts w:cstheme="minorHAnsi"/>
        </w:rPr>
        <w:t xml:space="preserve"> (2025) indicates surgical treatment</w:t>
      </w:r>
      <w:r>
        <w:rPr>
          <w:rFonts w:cstheme="minorHAnsi"/>
        </w:rPr>
        <w:t xml:space="preserve"> is suitable:</w:t>
      </w:r>
    </w:p>
    <w:p w14:paraId="12214CDA" w14:textId="6D5BBEC0" w:rsidR="00E5135C" w:rsidRPr="0043680B" w:rsidRDefault="00507CF2" w:rsidP="0043680B">
      <w:pPr>
        <w:ind w:left="567" w:right="567"/>
        <w:rPr>
          <w:rFonts w:cstheme="minorHAnsi"/>
          <w:vertAlign w:val="superscript"/>
        </w:rPr>
      </w:pPr>
      <w:r>
        <w:rPr>
          <w:rFonts w:cstheme="minorHAnsi"/>
        </w:rPr>
        <w:t>‘</w:t>
      </w:r>
      <w:r w:rsidR="00E5135C" w:rsidRPr="0043680B">
        <w:rPr>
          <w:rFonts w:cstheme="minorHAnsi"/>
        </w:rPr>
        <w:t>… only for patients with long</w:t>
      </w:r>
      <w:r w:rsidR="00093B31">
        <w:rPr>
          <w:rFonts w:cstheme="minorHAnsi"/>
        </w:rPr>
        <w:t>-</w:t>
      </w:r>
      <w:r w:rsidR="00E5135C" w:rsidRPr="0043680B">
        <w:rPr>
          <w:rFonts w:cstheme="minorHAnsi"/>
        </w:rPr>
        <w:t>lasting gynaecomastia that is refractory to medical therapy or does not regress spontaneously. The extent and type of surgery should depend on the degree of enlargement and the amount of adipose tissue… and surgery as first-line treatment in patients with longer duration of symptoms, higher-grade disease, or inability to tolerate medications (though, longer duration of symptoms and high-grade disease are associated with higher rate of surgical complications).</w:t>
      </w:r>
      <w:r>
        <w:rPr>
          <w:rFonts w:cstheme="minorHAnsi"/>
        </w:rPr>
        <w:t>’</w:t>
      </w:r>
      <w:r w:rsidR="00E5135C" w:rsidRPr="0043680B">
        <w:rPr>
          <w:rFonts w:cstheme="minorHAnsi"/>
          <w:vertAlign w:val="superscript"/>
        </w:rPr>
        <w:t>7</w:t>
      </w:r>
    </w:p>
    <w:p w14:paraId="228DF787" w14:textId="203852E7" w:rsidR="00E5135C" w:rsidRPr="00D57CDE" w:rsidRDefault="00E5135C" w:rsidP="00507CF2">
      <w:r w:rsidRPr="00D57CDE">
        <w:t xml:space="preserve">The </w:t>
      </w:r>
      <w:r>
        <w:t>DynaMed</w:t>
      </w:r>
      <w:r w:rsidRPr="00D57CDE">
        <w:t xml:space="preserve"> overview also urges ‘a comprehensive work</w:t>
      </w:r>
      <w:r>
        <w:t>-up</w:t>
      </w:r>
      <w:r w:rsidRPr="00D57CDE">
        <w:t xml:space="preserve"> before surgery to rule out the underlying cause of gynaecomastia and to prevent recurrence after surgery….’</w:t>
      </w:r>
      <w:r w:rsidR="00DC37F6" w:rsidRPr="00DC37F6">
        <w:rPr>
          <w:vertAlign w:val="superscript"/>
        </w:rPr>
        <w:t>7</w:t>
      </w:r>
    </w:p>
    <w:p w14:paraId="7E44DB2C" w14:textId="15BA207D" w:rsidR="005C13E1" w:rsidRDefault="005C13E1" w:rsidP="00EB620C">
      <w:pPr>
        <w:pStyle w:val="Heading1"/>
      </w:pPr>
      <w:bookmarkStart w:id="7" w:name="_Toc197676464"/>
      <w:r w:rsidRPr="001636EF">
        <w:t>Benefits</w:t>
      </w:r>
      <w:bookmarkEnd w:id="7"/>
    </w:p>
    <w:p w14:paraId="762434C8" w14:textId="73B1ABE1" w:rsidR="00422321" w:rsidRPr="00D57CDE" w:rsidRDefault="00422321" w:rsidP="5E9675D2">
      <w:pPr>
        <w:rPr>
          <w:vertAlign w:val="superscript"/>
        </w:rPr>
      </w:pPr>
      <w:r>
        <w:t xml:space="preserve">The EAA </w:t>
      </w:r>
      <w:r w:rsidR="00211845">
        <w:t xml:space="preserve">2019 </w:t>
      </w:r>
      <w:r>
        <w:t>guidelines note that in cases where gynaecomastia causes considerable cosmetic and psychological distress, surgical treatment is justiﬁed.</w:t>
      </w:r>
      <w:r w:rsidR="0EF45148" w:rsidRPr="5E9675D2">
        <w:rPr>
          <w:vertAlign w:val="superscript"/>
        </w:rPr>
        <w:t>5</w:t>
      </w:r>
      <w:r>
        <w:t xml:space="preserve"> This comment is in an </w:t>
      </w:r>
      <w:r w:rsidR="000F638C">
        <w:t>‘observations’</w:t>
      </w:r>
      <w:r>
        <w:t xml:space="preserve"> section and is not a formal guideline recommendation. Furthermore, citing Ordaz and Thompson’s 2015 review of the literature</w:t>
      </w:r>
      <w:r w:rsidR="000F638C">
        <w:t>,</w:t>
      </w:r>
      <w:r w:rsidR="4D3EA4F0" w:rsidRPr="5E9675D2">
        <w:rPr>
          <w:vertAlign w:val="superscript"/>
        </w:rPr>
        <w:t>8</w:t>
      </w:r>
      <w:r>
        <w:t xml:space="preserve"> the EAA mentions that persistent gynaecomastia may have significant psychosocial and psychological consequences. The literature cited in the EAA guidelines points to the association of gynaecomastia with depression, anxiety, low self</w:t>
      </w:r>
      <w:r w:rsidR="00FC60AD">
        <w:t xml:space="preserve"> </w:t>
      </w:r>
      <w:r>
        <w:t>esteem and body image concerns</w:t>
      </w:r>
      <w:r w:rsidR="00BD343B">
        <w:t xml:space="preserve">; </w:t>
      </w:r>
      <w:r>
        <w:t>issues that may lead patients to maladaptive coping mechanisms such as wrapping of the chest, walking with slumped shoulders and arms cross</w:t>
      </w:r>
      <w:r w:rsidR="001E3D43">
        <w:t>ed</w:t>
      </w:r>
      <w:r>
        <w:t>, and eventually restriction of physical and social activities</w:t>
      </w:r>
      <w:r w:rsidRPr="5E9675D2">
        <w:rPr>
          <w:i/>
          <w:iCs/>
        </w:rPr>
        <w:t xml:space="preserve">. </w:t>
      </w:r>
      <w:r>
        <w:t>The</w:t>
      </w:r>
      <w:r w:rsidRPr="5E9675D2">
        <w:rPr>
          <w:i/>
          <w:iCs/>
        </w:rPr>
        <w:t xml:space="preserve"> </w:t>
      </w:r>
      <w:r>
        <w:t>DynaMed 2025 evidence overview indicates that surgical treatment of gynaecomastia may improve quality of life, self</w:t>
      </w:r>
      <w:r w:rsidR="00FC60AD">
        <w:t xml:space="preserve"> </w:t>
      </w:r>
      <w:r>
        <w:t>esteem and patient satisfaction.</w:t>
      </w:r>
      <w:r w:rsidR="404EC540" w:rsidRPr="5E9675D2">
        <w:rPr>
          <w:vertAlign w:val="superscript"/>
        </w:rPr>
        <w:t>7</w:t>
      </w:r>
    </w:p>
    <w:p w14:paraId="2EA746FD" w14:textId="34666D69" w:rsidR="00CC61AD" w:rsidRDefault="00C55E99" w:rsidP="00EB620C">
      <w:pPr>
        <w:pStyle w:val="Heading1"/>
      </w:pPr>
      <w:bookmarkStart w:id="8" w:name="_Toc197676465"/>
      <w:r w:rsidRPr="001636EF">
        <w:t>Risks</w:t>
      </w:r>
      <w:r w:rsidR="00CC61AD" w:rsidRPr="001636EF">
        <w:t xml:space="preserve"> and </w:t>
      </w:r>
      <w:r w:rsidR="000B22DF">
        <w:t>complications</w:t>
      </w:r>
      <w:bookmarkEnd w:id="8"/>
    </w:p>
    <w:p w14:paraId="67623ED4" w14:textId="021BD8BE" w:rsidR="00F57B42" w:rsidRPr="00D57CDE" w:rsidRDefault="00F57B42" w:rsidP="5E9675D2">
      <w:pPr>
        <w:rPr>
          <w:vertAlign w:val="superscript"/>
        </w:rPr>
      </w:pPr>
      <w:r>
        <w:t xml:space="preserve">Few specific risks were identified in the literature. Surgery is often considered as a final treatment after other treatments have been tried and normal contraindications for any surgery would be prudent to consider. The BMJ Best Practice 2024 evidence overview specifically recommends against surgery for young males </w:t>
      </w:r>
      <w:r w:rsidR="00C610CB">
        <w:t xml:space="preserve">who </w:t>
      </w:r>
      <w:r>
        <w:t>are pubertal or adolescents.</w:t>
      </w:r>
      <w:r w:rsidR="2EDF002F" w:rsidRPr="5E9675D2">
        <w:rPr>
          <w:vertAlign w:val="superscript"/>
        </w:rPr>
        <w:t>6</w:t>
      </w:r>
    </w:p>
    <w:p w14:paraId="11E1DEA9" w14:textId="0156AA33" w:rsidR="00F57B42" w:rsidRPr="00D57CDE" w:rsidRDefault="00F57B42" w:rsidP="5E9675D2">
      <w:pPr>
        <w:rPr>
          <w:i/>
          <w:iCs/>
        </w:rPr>
      </w:pPr>
      <w:r>
        <w:t>The 2024 BMJ Best Practice evidence overview notes complications of surgery include haematoma, seroma, infection, permanent sensory loss, skin redundancy, abnormal breast contour and scarring.</w:t>
      </w:r>
      <w:r w:rsidR="5A01180A" w:rsidRPr="5E9675D2">
        <w:rPr>
          <w:vertAlign w:val="superscript"/>
        </w:rPr>
        <w:t>6</w:t>
      </w:r>
      <w:r>
        <w:t xml:space="preserve"> Final breast contour may not be apparent for 1 year. The NHS</w:t>
      </w:r>
      <w:r w:rsidR="3C52A1B4">
        <w:t xml:space="preserve"> England</w:t>
      </w:r>
      <w:r>
        <w:t xml:space="preserve"> conditions webpage on male breast reduction (2023) states that complications to consider include</w:t>
      </w:r>
      <w:r w:rsidRPr="5E9675D2">
        <w:rPr>
          <w:i/>
          <w:iCs/>
        </w:rPr>
        <w:t xml:space="preserve"> </w:t>
      </w:r>
      <w:r>
        <w:t>thick, obvious scarring, unevenly shaped breasts or nipples, wound healing problems, loss of nipple sensation, bleeding inside the breast tissue (haematoma</w:t>
      </w:r>
      <w:r w:rsidR="006B0A2A">
        <w:t xml:space="preserve"> </w:t>
      </w:r>
      <w:r>
        <w:t>usually happens within first 24 hours of the operation), developing lumps, bruising or swelling.</w:t>
      </w:r>
      <w:r w:rsidR="09354977" w:rsidRPr="5E9675D2">
        <w:rPr>
          <w:vertAlign w:val="superscript"/>
        </w:rPr>
        <w:t>9</w:t>
      </w:r>
      <w:r>
        <w:t xml:space="preserve"> Also, any  operation carries a small risk of excessive bleeding, infection, an allergic reaction to the anaesthetic or a blood clot forming in the deep veins.</w:t>
      </w:r>
    </w:p>
    <w:p w14:paraId="2127C30D" w14:textId="38E6413E" w:rsidR="00F57B42" w:rsidRPr="00D57CDE" w:rsidRDefault="00F57B42" w:rsidP="00507CF2">
      <w:r w:rsidRPr="00D57CDE">
        <w:t xml:space="preserve">The </w:t>
      </w:r>
      <w:r>
        <w:t>DynaMed</w:t>
      </w:r>
      <w:r w:rsidRPr="00D57CDE">
        <w:t xml:space="preserve"> 2025 evidence review indicates that surgery as first-line treatment in patients with longer duration of symptoms, higher-grade disease</w:t>
      </w:r>
      <w:r>
        <w:t xml:space="preserve"> or</w:t>
      </w:r>
      <w:r w:rsidRPr="00D57CDE">
        <w:t xml:space="preserve"> inability to tolerate medications is often associated with a higher rate of surgical complications.</w:t>
      </w:r>
      <w:r w:rsidRPr="00D57CDE">
        <w:rPr>
          <w:vertAlign w:val="superscript"/>
        </w:rPr>
        <w:t>7</w:t>
      </w:r>
      <w:r w:rsidRPr="00D57CDE">
        <w:t xml:space="preserve"> The</w:t>
      </w:r>
      <w:r>
        <w:t xml:space="preserve"> 2019</w:t>
      </w:r>
      <w:r w:rsidRPr="00D57CDE">
        <w:t xml:space="preserve"> EAA guidelines note that earlier studies suggest better psychological postoperative adjustment when surgery is combined with psychotherapy.</w:t>
      </w:r>
      <w:r w:rsidRPr="00D57CDE">
        <w:rPr>
          <w:vertAlign w:val="superscript"/>
        </w:rPr>
        <w:t>6</w:t>
      </w:r>
    </w:p>
    <w:p w14:paraId="1498CF1F" w14:textId="49CE1543" w:rsidR="00CF0A81" w:rsidRPr="001636EF" w:rsidRDefault="00CF0A81" w:rsidP="00EB620C">
      <w:pPr>
        <w:pStyle w:val="Heading1"/>
      </w:pPr>
      <w:bookmarkStart w:id="9" w:name="_Toc197676466"/>
      <w:r w:rsidRPr="001636EF">
        <w:t>Alternatives to treatment</w:t>
      </w:r>
      <w:bookmarkEnd w:id="9"/>
    </w:p>
    <w:p w14:paraId="09ABB171" w14:textId="52B5BC10" w:rsidR="005A36CC" w:rsidRPr="00D57CDE" w:rsidRDefault="005A36CC" w:rsidP="00507CF2">
      <w:r>
        <w:t>As noted above, the BMJ Best Practice evidence overview recommends androgen therapies for gynaecomastia associated with hypogonadism.</w:t>
      </w:r>
      <w:r w:rsidR="52F786D0" w:rsidRPr="5E9675D2">
        <w:rPr>
          <w:vertAlign w:val="superscript"/>
        </w:rPr>
        <w:t>6</w:t>
      </w:r>
      <w:r>
        <w:t xml:space="preserve"> For idiopathic gynaecomastia, it recommends tamoxifen</w:t>
      </w:r>
      <w:r w:rsidR="00550531">
        <w:t xml:space="preserve"> and</w:t>
      </w:r>
      <w:r>
        <w:t xml:space="preserve"> for gynaecomastia associated with prostate cancer, it recommends tamoxifen and prophylactic radiation therapy. The 2019 EAA guidelines state that testosterone treatment should be offered only to men with proven testosterone deficiency and explicitly do not recommend use of selective oestrogen receptor modulators, aromatase inhibitors or non</w:t>
      </w:r>
      <w:r w:rsidR="001E3D43">
        <w:t>-aromatisable</w:t>
      </w:r>
      <w:r>
        <w:t xml:space="preserve"> androgens for the treatment of gynaecomastia in general.</w:t>
      </w:r>
      <w:r w:rsidR="007A643C" w:rsidRPr="007A643C">
        <w:rPr>
          <w:vertAlign w:val="superscript"/>
        </w:rPr>
        <w:t xml:space="preserve"> </w:t>
      </w:r>
      <w:r w:rsidR="007A643C" w:rsidRPr="5E9675D2">
        <w:rPr>
          <w:vertAlign w:val="superscript"/>
        </w:rPr>
        <w:t>5</w:t>
      </w:r>
      <w:r>
        <w:t xml:space="preserve"> Most systematic reviews identified in this summary on treating gynaecomastia  focused </w:t>
      </w:r>
      <w:r w:rsidR="00D86077">
        <w:t xml:space="preserve">either </w:t>
      </w:r>
      <w:r>
        <w:t>on surgical technique or pharmacological treatment</w:t>
      </w:r>
      <w:r w:rsidR="00D86077">
        <w:t>,</w:t>
      </w:r>
      <w:r>
        <w:t xml:space="preserve"> but not both.</w:t>
      </w:r>
    </w:p>
    <w:p w14:paraId="417D75F6" w14:textId="01D1A0E5" w:rsidR="005A36CC" w:rsidRPr="00D57CDE" w:rsidRDefault="005A36CC" w:rsidP="5E9675D2">
      <w:pPr>
        <w:rPr>
          <w:rFonts w:cstheme="minorBidi"/>
        </w:rPr>
      </w:pPr>
      <w:r w:rsidRPr="5E9675D2">
        <w:rPr>
          <w:rFonts w:cstheme="minorBidi"/>
        </w:rPr>
        <w:t>The BMJ Best Practice 2024 evidence overview notes that patients without pain or psychological distress require no treatment as the gynaecomastia is self</w:t>
      </w:r>
      <w:r w:rsidR="00FC60AD" w:rsidRPr="5E9675D2">
        <w:rPr>
          <w:rFonts w:cstheme="minorBidi"/>
        </w:rPr>
        <w:t xml:space="preserve"> </w:t>
      </w:r>
      <w:r w:rsidRPr="5E9675D2">
        <w:rPr>
          <w:rFonts w:cstheme="minorBidi"/>
        </w:rPr>
        <w:t>limited and benign.</w:t>
      </w:r>
      <w:r w:rsidR="167D5388" w:rsidRPr="5E9675D2">
        <w:rPr>
          <w:rFonts w:cstheme="minorBidi"/>
          <w:vertAlign w:val="superscript"/>
        </w:rPr>
        <w:t>6</w:t>
      </w:r>
      <w:r w:rsidRPr="5E9675D2">
        <w:rPr>
          <w:rFonts w:cstheme="minorBidi"/>
        </w:rPr>
        <w:t xml:space="preserve"> Additionally, spontaneous regression of gynaecomastia has been reported in adult men, but this is rare in controlled trials.</w:t>
      </w:r>
    </w:p>
    <w:p w14:paraId="2A49780D" w14:textId="77777777" w:rsidR="00666514" w:rsidRPr="001636EF" w:rsidRDefault="00666514">
      <w:r w:rsidRPr="001636EF">
        <w:br w:type="page"/>
      </w:r>
    </w:p>
    <w:p w14:paraId="64D28EAF" w14:textId="77777777" w:rsidR="006527E9" w:rsidRPr="00AF0596" w:rsidRDefault="006527E9" w:rsidP="006527E9">
      <w:pPr>
        <w:pStyle w:val="Heading1"/>
      </w:pPr>
      <w:bookmarkStart w:id="10" w:name="_Toc197676467"/>
      <w:r>
        <w:t>References</w:t>
      </w:r>
      <w:bookmarkEnd w:id="10"/>
    </w:p>
    <w:p w14:paraId="03FE3A46" w14:textId="2F4AC0F2" w:rsidR="3A0DCFF9" w:rsidRDefault="3A0DCFF9" w:rsidP="00D90ED9">
      <w:pPr>
        <w:pStyle w:val="ListParagraph"/>
        <w:numPr>
          <w:ilvl w:val="0"/>
          <w:numId w:val="3"/>
        </w:numPr>
        <w:shd w:val="clear" w:color="auto" w:fill="FFFFFF" w:themeFill="background1"/>
        <w:spacing w:after="0" w:line="259" w:lineRule="auto"/>
        <w:ind w:left="426"/>
        <w:rPr>
          <w:rFonts w:cstheme="minorBidi"/>
        </w:rPr>
      </w:pPr>
      <w:r w:rsidRPr="5E9675D2">
        <w:rPr>
          <w:color w:val="000000" w:themeColor="text1"/>
        </w:rPr>
        <w:t xml:space="preserve">Symptomatic </w:t>
      </w:r>
      <w:r w:rsidR="19DD5309" w:rsidRPr="5E9675D2">
        <w:rPr>
          <w:color w:val="000000" w:themeColor="text1"/>
        </w:rPr>
        <w:t>b</w:t>
      </w:r>
      <w:r w:rsidRPr="5E9675D2">
        <w:rPr>
          <w:color w:val="000000" w:themeColor="text1"/>
        </w:rPr>
        <w:t xml:space="preserve">reast </w:t>
      </w:r>
      <w:r w:rsidR="369D2637" w:rsidRPr="5E9675D2">
        <w:rPr>
          <w:color w:val="000000" w:themeColor="text1"/>
        </w:rPr>
        <w:t>s</w:t>
      </w:r>
      <w:r w:rsidRPr="5E9675D2">
        <w:rPr>
          <w:color w:val="000000" w:themeColor="text1"/>
        </w:rPr>
        <w:t xml:space="preserve">peciality </w:t>
      </w:r>
      <w:r w:rsidR="5AAE5D2A" w:rsidRPr="5E9675D2">
        <w:rPr>
          <w:color w:val="000000" w:themeColor="text1"/>
        </w:rPr>
        <w:t>d</w:t>
      </w:r>
      <w:r w:rsidRPr="5E9675D2">
        <w:rPr>
          <w:color w:val="000000" w:themeColor="text1"/>
        </w:rPr>
        <w:t xml:space="preserve">elivery </w:t>
      </w:r>
      <w:r w:rsidR="30B6EF76" w:rsidRPr="5E9675D2">
        <w:rPr>
          <w:color w:val="000000" w:themeColor="text1"/>
        </w:rPr>
        <w:t>g</w:t>
      </w:r>
      <w:r w:rsidRPr="5E9675D2">
        <w:rPr>
          <w:color w:val="000000" w:themeColor="text1"/>
        </w:rPr>
        <w:t>roup</w:t>
      </w:r>
      <w:r w:rsidRPr="5E9675D2">
        <w:rPr>
          <w:rFonts w:cstheme="minorBidi"/>
        </w:rPr>
        <w:t xml:space="preserve">. Gynaecomastia. 2024 [cited 2025 Jan 28]; Available from: </w:t>
      </w:r>
      <w:hyperlink r:id="rId17">
        <w:r w:rsidRPr="5E9675D2">
          <w:rPr>
            <w:rStyle w:val="Hyperlink"/>
            <w:rFonts w:cstheme="minorBidi"/>
          </w:rPr>
          <w:t>https://rightdecisions.scot.nhs.uk/breast-pathways-referral-pathways/gynaecomastia/</w:t>
        </w:r>
      </w:hyperlink>
      <w:r w:rsidRPr="5E9675D2">
        <w:rPr>
          <w:rFonts w:cstheme="minorBidi"/>
        </w:rPr>
        <w:t>.</w:t>
      </w:r>
    </w:p>
    <w:p w14:paraId="0150841F" w14:textId="5F029B37" w:rsidR="28043E05" w:rsidRDefault="28043E05" w:rsidP="00D90ED9">
      <w:pPr>
        <w:pStyle w:val="ListParagraph"/>
        <w:numPr>
          <w:ilvl w:val="0"/>
          <w:numId w:val="3"/>
        </w:numPr>
        <w:shd w:val="clear" w:color="auto" w:fill="FFFFFF" w:themeFill="background1"/>
        <w:spacing w:after="0" w:line="259" w:lineRule="auto"/>
        <w:ind w:left="426"/>
        <w:rPr>
          <w:rFonts w:cstheme="minorBidi"/>
        </w:rPr>
      </w:pPr>
      <w:r w:rsidRPr="5E9675D2">
        <w:rPr>
          <w:rFonts w:eastAsia="Calibri"/>
          <w:color w:val="000000" w:themeColor="text1"/>
        </w:rPr>
        <w:t>British Association of Plastic, Reconstructive and Aesthetic Surgeons (BAPRAS)</w:t>
      </w:r>
      <w:r w:rsidRPr="5E9675D2">
        <w:t xml:space="preserve"> and </w:t>
      </w:r>
      <w:r w:rsidRPr="5E9675D2">
        <w:rPr>
          <w:rFonts w:cstheme="minorBidi"/>
        </w:rPr>
        <w:t xml:space="preserve">NHS Modernisation Agency. Information for commissioners for plastic surgery: Referrals and guidelines in plastic surgery. 2005 [cited 2025 Jan 28]; Available from: </w:t>
      </w:r>
      <w:hyperlink r:id="rId18">
        <w:r w:rsidRPr="5E9675D2">
          <w:rPr>
            <w:rStyle w:val="Hyperlink"/>
            <w:rFonts w:cstheme="minorBidi"/>
          </w:rPr>
          <w:t>https://bapras.org.uk/docs/default-source/commissioning-and-policy/information-for-commissioners-of-plastic-surgery-services.pdf</w:t>
        </w:r>
      </w:hyperlink>
      <w:r w:rsidRPr="5E9675D2">
        <w:rPr>
          <w:rFonts w:cstheme="minorBidi"/>
        </w:rPr>
        <w:t>.</w:t>
      </w:r>
    </w:p>
    <w:p w14:paraId="38A58F11" w14:textId="37F24FCA" w:rsidR="00F74B23" w:rsidRDefault="006527E9" w:rsidP="00D90ED9">
      <w:pPr>
        <w:pStyle w:val="ListParagraph"/>
        <w:numPr>
          <w:ilvl w:val="0"/>
          <w:numId w:val="3"/>
        </w:numPr>
        <w:shd w:val="clear" w:color="auto" w:fill="FFFFFF" w:themeFill="background1"/>
        <w:spacing w:after="0" w:line="259" w:lineRule="auto"/>
        <w:ind w:left="426"/>
        <w:rPr>
          <w:rFonts w:cstheme="minorBidi"/>
        </w:rPr>
      </w:pPr>
      <w:r w:rsidRPr="5E9675D2">
        <w:rPr>
          <w:rFonts w:cstheme="minorBidi"/>
        </w:rPr>
        <w:t>Association of Breast Surgery Clinical Practice and Standards Committee. Association of breast surgery summary statement</w:t>
      </w:r>
      <w:r w:rsidR="7824FAAB" w:rsidRPr="5E9675D2">
        <w:rPr>
          <w:rFonts w:cstheme="minorBidi"/>
        </w:rPr>
        <w:t>:</w:t>
      </w:r>
      <w:r w:rsidRPr="5E9675D2">
        <w:rPr>
          <w:rFonts w:cstheme="minorBidi"/>
        </w:rPr>
        <w:t xml:space="preserve"> </w:t>
      </w:r>
      <w:r w:rsidR="28989AE3" w:rsidRPr="5E9675D2">
        <w:rPr>
          <w:rFonts w:cstheme="minorBidi"/>
        </w:rPr>
        <w:t>I</w:t>
      </w:r>
      <w:r w:rsidRPr="5E9675D2">
        <w:rPr>
          <w:rFonts w:cstheme="minorBidi"/>
        </w:rPr>
        <w:t>nvestigation and management of gynaecomastia in primary and secondary care</w:t>
      </w:r>
      <w:r w:rsidRPr="5E9675D2">
        <w:rPr>
          <w:rFonts w:cstheme="minorBidi"/>
          <w:i/>
          <w:iCs/>
        </w:rPr>
        <w:t xml:space="preserve">. </w:t>
      </w:r>
      <w:r w:rsidRPr="5E9675D2">
        <w:rPr>
          <w:rFonts w:cstheme="minorBidi"/>
        </w:rPr>
        <w:t>2021 [</w:t>
      </w:r>
      <w:r w:rsidR="760EEF73" w:rsidRPr="5E9675D2">
        <w:rPr>
          <w:rFonts w:cstheme="minorBidi"/>
        </w:rPr>
        <w:t xml:space="preserve">cited </w:t>
      </w:r>
      <w:r w:rsidRPr="5E9675D2">
        <w:rPr>
          <w:rFonts w:cstheme="minorBidi"/>
        </w:rPr>
        <w:t>2025</w:t>
      </w:r>
      <w:r w:rsidR="5E49999D" w:rsidRPr="5E9675D2">
        <w:rPr>
          <w:rFonts w:cstheme="minorBidi"/>
        </w:rPr>
        <w:t xml:space="preserve"> </w:t>
      </w:r>
      <w:r w:rsidR="57B83A8B" w:rsidRPr="5E9675D2">
        <w:rPr>
          <w:rFonts w:cstheme="minorBidi"/>
        </w:rPr>
        <w:t>J</w:t>
      </w:r>
      <w:r w:rsidR="5E49999D" w:rsidRPr="5E9675D2">
        <w:rPr>
          <w:rFonts w:cstheme="minorBidi"/>
        </w:rPr>
        <w:t>an 28</w:t>
      </w:r>
      <w:r w:rsidRPr="5E9675D2">
        <w:rPr>
          <w:rFonts w:cstheme="minorBidi"/>
        </w:rPr>
        <w:t>]</w:t>
      </w:r>
      <w:r w:rsidR="549C01F3" w:rsidRPr="5E9675D2">
        <w:rPr>
          <w:rFonts w:cstheme="minorBidi"/>
        </w:rPr>
        <w:t xml:space="preserve">; Available from: </w:t>
      </w:r>
      <w:hyperlink r:id="rId19">
        <w:r w:rsidR="549C01F3" w:rsidRPr="5E9675D2">
          <w:rPr>
            <w:rStyle w:val="Hyperlink"/>
            <w:rFonts w:asciiTheme="minorHAnsi" w:eastAsiaTheme="minorEastAsia" w:hAnsiTheme="minorHAnsi" w:cstheme="minorBidi"/>
          </w:rPr>
          <w:t>https://associationofbreastsurgery.org.uk/media/b2ljdqhr/abs-summary-statement-gynaecomastia-v3.pdf</w:t>
        </w:r>
      </w:hyperlink>
      <w:r w:rsidR="549C01F3" w:rsidRPr="5E9675D2">
        <w:rPr>
          <w:rFonts w:asciiTheme="minorHAnsi" w:eastAsiaTheme="minorEastAsia" w:hAnsiTheme="minorHAnsi" w:cstheme="minorBidi"/>
        </w:rPr>
        <w:t>.</w:t>
      </w:r>
    </w:p>
    <w:p w14:paraId="7CADA618" w14:textId="65EBCC27" w:rsidR="00F74B23" w:rsidRDefault="006527E9" w:rsidP="00D90ED9">
      <w:pPr>
        <w:pStyle w:val="ListParagraph"/>
        <w:numPr>
          <w:ilvl w:val="0"/>
          <w:numId w:val="3"/>
        </w:numPr>
        <w:shd w:val="clear" w:color="auto" w:fill="FFFFFF" w:themeFill="background1"/>
        <w:spacing w:after="0" w:line="259" w:lineRule="auto"/>
        <w:ind w:left="426"/>
        <w:rPr>
          <w:rFonts w:cstheme="minorBidi"/>
        </w:rPr>
      </w:pPr>
      <w:r w:rsidRPr="5E9675D2">
        <w:rPr>
          <w:rFonts w:cstheme="minorBidi"/>
        </w:rPr>
        <w:t>Bromley HL, Dave R, Lord N, Wright P, Rowland M, Gandhi A. Gynaecomastia: when and why to refer to specialist care. Br J Gen Pract. 2021 Mar 26;71(705):185-188.</w:t>
      </w:r>
      <w:r w:rsidR="5459681F" w:rsidRPr="5E9675D2">
        <w:rPr>
          <w:rFonts w:cstheme="minorBidi"/>
        </w:rPr>
        <w:t xml:space="preserve"> </w:t>
      </w:r>
      <w:hyperlink r:id="rId20">
        <w:r w:rsidR="5459681F" w:rsidRPr="5E9675D2">
          <w:rPr>
            <w:rStyle w:val="Hyperlink"/>
            <w:rFonts w:cstheme="minorBidi"/>
          </w:rPr>
          <w:t>https://pmc.ncbi.nlm.nih.gov/articles/PMC8007267/</w:t>
        </w:r>
      </w:hyperlink>
      <w:r w:rsidR="5459681F" w:rsidRPr="5E9675D2">
        <w:rPr>
          <w:rFonts w:cstheme="minorBidi"/>
        </w:rPr>
        <w:t>.</w:t>
      </w:r>
    </w:p>
    <w:p w14:paraId="119CF5D0" w14:textId="58F16C86" w:rsidR="00F74B23" w:rsidRDefault="67704F3C" w:rsidP="00D90ED9">
      <w:pPr>
        <w:pStyle w:val="ListParagraph"/>
        <w:numPr>
          <w:ilvl w:val="0"/>
          <w:numId w:val="3"/>
        </w:numPr>
        <w:shd w:val="clear" w:color="auto" w:fill="FFFFFF" w:themeFill="background1"/>
        <w:spacing w:after="0" w:line="259" w:lineRule="auto"/>
        <w:ind w:left="426"/>
        <w:rPr>
          <w:rStyle w:val="Hyperlink"/>
          <w:rFonts w:cstheme="minorBidi"/>
          <w:color w:val="auto"/>
          <w:u w:val="none"/>
        </w:rPr>
      </w:pPr>
      <w:r w:rsidRPr="5E9675D2">
        <w:rPr>
          <w:rFonts w:cstheme="minorBidi"/>
        </w:rPr>
        <w:t xml:space="preserve">Kanakis GA, Nordkap L, Bang AK, Calogero AE, Bartfai G, Corona G, et al. </w:t>
      </w:r>
      <w:r w:rsidR="000E47F5">
        <w:t xml:space="preserve">European Academy of Andrology </w:t>
      </w:r>
      <w:r w:rsidRPr="5E9675D2">
        <w:rPr>
          <w:rFonts w:cstheme="minorBidi"/>
        </w:rPr>
        <w:t xml:space="preserve">clinical practice guidelines-gynecomastia evaluation and management. Andrology. 2019;7(6):778-93. </w:t>
      </w:r>
      <w:hyperlink r:id="rId21">
        <w:r w:rsidRPr="5E9675D2">
          <w:rPr>
            <w:rStyle w:val="Hyperlink"/>
            <w:rFonts w:cstheme="minorBidi"/>
          </w:rPr>
          <w:t>https://pubmed.ncbi.nlm.nih.gov/31099174/</w:t>
        </w:r>
      </w:hyperlink>
      <w:r w:rsidRPr="5E9675D2">
        <w:rPr>
          <w:rFonts w:cstheme="minorBidi"/>
        </w:rPr>
        <w:t>.</w:t>
      </w:r>
    </w:p>
    <w:p w14:paraId="64967341" w14:textId="2203D0DB" w:rsidR="00F74B23" w:rsidRDefault="006527E9" w:rsidP="00D90ED9">
      <w:pPr>
        <w:pStyle w:val="ListParagraph"/>
        <w:numPr>
          <w:ilvl w:val="0"/>
          <w:numId w:val="3"/>
        </w:numPr>
        <w:shd w:val="clear" w:color="auto" w:fill="FFFFFF" w:themeFill="background1"/>
        <w:spacing w:after="0" w:line="259" w:lineRule="auto"/>
        <w:ind w:left="426"/>
        <w:rPr>
          <w:rStyle w:val="Hyperlink"/>
          <w:rFonts w:cstheme="minorBidi"/>
          <w:color w:val="auto"/>
          <w:u w:val="none"/>
        </w:rPr>
      </w:pPr>
      <w:r w:rsidRPr="5E9675D2">
        <w:rPr>
          <w:rFonts w:cstheme="minorBidi"/>
        </w:rPr>
        <w:t>BMJ Best Practice. Gynaecomastia</w:t>
      </w:r>
      <w:r w:rsidR="549B3F28" w:rsidRPr="5E9675D2">
        <w:rPr>
          <w:rFonts w:cstheme="minorBidi"/>
        </w:rPr>
        <w:t xml:space="preserve">. 2024 </w:t>
      </w:r>
      <w:r w:rsidRPr="5E9675D2">
        <w:rPr>
          <w:rFonts w:cstheme="minorBidi"/>
        </w:rPr>
        <w:t>[</w:t>
      </w:r>
      <w:r w:rsidR="21441FC0" w:rsidRPr="5E9675D2">
        <w:rPr>
          <w:rFonts w:cstheme="minorBidi"/>
        </w:rPr>
        <w:t>cit</w:t>
      </w:r>
      <w:r w:rsidRPr="5E9675D2">
        <w:rPr>
          <w:rFonts w:cstheme="minorBidi"/>
        </w:rPr>
        <w:t>ed 2024</w:t>
      </w:r>
      <w:r w:rsidR="507F6C18" w:rsidRPr="5E9675D2">
        <w:rPr>
          <w:rFonts w:cstheme="minorBidi"/>
        </w:rPr>
        <w:t xml:space="preserve"> Jan 22</w:t>
      </w:r>
      <w:r w:rsidRPr="5E9675D2">
        <w:rPr>
          <w:rFonts w:cstheme="minorBidi"/>
        </w:rPr>
        <w:t>]</w:t>
      </w:r>
      <w:r w:rsidR="6268820F" w:rsidRPr="5E9675D2">
        <w:rPr>
          <w:rFonts w:cstheme="minorBidi"/>
        </w:rPr>
        <w:t xml:space="preserve">; Available from: </w:t>
      </w:r>
      <w:hyperlink r:id="rId22">
        <w:r w:rsidR="6268820F" w:rsidRPr="5E9675D2">
          <w:rPr>
            <w:rStyle w:val="Hyperlink"/>
            <w:rFonts w:cstheme="minorBidi"/>
          </w:rPr>
          <w:t>https://bestpractice-bmj-com.knowledge.idm.oclc.org/topics/en-gb/869/pdf/869/Gynaecomastia.pdf</w:t>
        </w:r>
      </w:hyperlink>
      <w:r w:rsidR="6268820F" w:rsidRPr="5E9675D2">
        <w:rPr>
          <w:rFonts w:cstheme="minorBidi"/>
        </w:rPr>
        <w:t>.</w:t>
      </w:r>
    </w:p>
    <w:p w14:paraId="78AE7A19" w14:textId="5F4DB46F" w:rsidR="00F74B23" w:rsidRDefault="006527E9" w:rsidP="00D90ED9">
      <w:pPr>
        <w:pStyle w:val="ListParagraph"/>
        <w:numPr>
          <w:ilvl w:val="0"/>
          <w:numId w:val="3"/>
        </w:numPr>
        <w:shd w:val="clear" w:color="auto" w:fill="FFFFFF" w:themeFill="background1"/>
        <w:spacing w:after="0" w:line="259" w:lineRule="auto"/>
        <w:ind w:left="426"/>
        <w:rPr>
          <w:rStyle w:val="Hyperlink"/>
          <w:rFonts w:cstheme="minorBidi"/>
          <w:color w:val="auto"/>
          <w:u w:val="none"/>
        </w:rPr>
      </w:pPr>
      <w:r w:rsidRPr="5E9675D2">
        <w:rPr>
          <w:rFonts w:cstheme="minorBidi"/>
          <w:color w:val="000000" w:themeColor="text1"/>
        </w:rPr>
        <w:t xml:space="preserve">DynaMed. Gynecomastia. EBSCO Information Services. </w:t>
      </w:r>
      <w:r w:rsidR="2716C503" w:rsidRPr="5E9675D2">
        <w:rPr>
          <w:rFonts w:cstheme="minorBidi"/>
          <w:color w:val="000000" w:themeColor="text1"/>
        </w:rPr>
        <w:t>2025 [cit</w:t>
      </w:r>
      <w:r w:rsidRPr="5E9675D2">
        <w:rPr>
          <w:rFonts w:cstheme="minorBidi"/>
          <w:color w:val="000000" w:themeColor="text1"/>
        </w:rPr>
        <w:t>ed 2025</w:t>
      </w:r>
      <w:r w:rsidR="6694B489" w:rsidRPr="5E9675D2">
        <w:rPr>
          <w:rFonts w:cstheme="minorBidi"/>
          <w:color w:val="000000" w:themeColor="text1"/>
        </w:rPr>
        <w:t xml:space="preserve"> Jan 22]; Available from:</w:t>
      </w:r>
      <w:r w:rsidRPr="5E9675D2">
        <w:rPr>
          <w:rFonts w:cstheme="minorBidi"/>
          <w:color w:val="000000" w:themeColor="text1"/>
        </w:rPr>
        <w:t xml:space="preserve"> </w:t>
      </w:r>
      <w:hyperlink r:id="rId23">
        <w:r w:rsidRPr="5E9675D2">
          <w:rPr>
            <w:rStyle w:val="Hyperlink"/>
            <w:rFonts w:cstheme="minorBidi"/>
          </w:rPr>
          <w:t>https://www.DynaMed.com/condition/gynecomastia</w:t>
        </w:r>
      </w:hyperlink>
      <w:r w:rsidR="6DACF704" w:rsidRPr="5E9675D2">
        <w:rPr>
          <w:rFonts w:cstheme="minorBidi"/>
        </w:rPr>
        <w:t>.</w:t>
      </w:r>
    </w:p>
    <w:p w14:paraId="5CACBA7D" w14:textId="3DD24156" w:rsidR="00F74B23" w:rsidRDefault="51627844" w:rsidP="00D90ED9">
      <w:pPr>
        <w:pStyle w:val="ListParagraph"/>
        <w:numPr>
          <w:ilvl w:val="0"/>
          <w:numId w:val="3"/>
        </w:numPr>
        <w:shd w:val="clear" w:color="auto" w:fill="FFFFFF" w:themeFill="background1"/>
        <w:spacing w:after="0" w:line="259" w:lineRule="auto"/>
        <w:ind w:left="426"/>
        <w:rPr>
          <w:rFonts w:cstheme="minorBidi"/>
        </w:rPr>
      </w:pPr>
      <w:r w:rsidRPr="5E9675D2">
        <w:rPr>
          <w:rFonts w:cstheme="minorBidi"/>
        </w:rPr>
        <w:t xml:space="preserve">Ordaz DL &amp; Thompson JK. (2015) Gynecomastia and psychological functioning: a review of the literature. Body Image. 2015;15,141–148. </w:t>
      </w:r>
      <w:hyperlink r:id="rId24">
        <w:r w:rsidRPr="5E9675D2">
          <w:rPr>
            <w:rStyle w:val="Hyperlink"/>
            <w:rFonts w:cstheme="minorBidi"/>
          </w:rPr>
          <w:t>https://pubmed.ncbi.nlm.nih.gov/26408934/</w:t>
        </w:r>
      </w:hyperlink>
      <w:r w:rsidRPr="5E9675D2">
        <w:rPr>
          <w:rFonts w:cstheme="minorBidi"/>
        </w:rPr>
        <w:t>.</w:t>
      </w:r>
    </w:p>
    <w:p w14:paraId="4EC18758" w14:textId="07702F7D" w:rsidR="00F74B23" w:rsidRDefault="3DA91FC4" w:rsidP="00D90ED9">
      <w:pPr>
        <w:pStyle w:val="ListParagraph"/>
        <w:numPr>
          <w:ilvl w:val="0"/>
          <w:numId w:val="3"/>
        </w:numPr>
        <w:shd w:val="clear" w:color="auto" w:fill="FFFFFF" w:themeFill="background1"/>
        <w:spacing w:after="0" w:line="259" w:lineRule="auto"/>
        <w:ind w:left="426"/>
        <w:rPr>
          <w:rFonts w:cstheme="minorBidi"/>
        </w:rPr>
      </w:pPr>
      <w:r w:rsidRPr="5E9675D2">
        <w:rPr>
          <w:rStyle w:val="Hyperlink"/>
          <w:rFonts w:cstheme="minorBidi"/>
          <w:color w:val="auto"/>
          <w:u w:val="none"/>
        </w:rPr>
        <w:t xml:space="preserve">NHS England. Breast reduction (male). 2023 [cited 2025 Feb 12]; Available from: </w:t>
      </w:r>
      <w:hyperlink r:id="rId25">
        <w:r w:rsidRPr="5E9675D2">
          <w:rPr>
            <w:rStyle w:val="Hyperlink"/>
            <w:rFonts w:cstheme="minorBidi"/>
          </w:rPr>
          <w:t>https://www.nhs.uk/tests-and-treatments/cosmetic-procedures/cosmetic-surgery/breast-reduction-male/</w:t>
        </w:r>
      </w:hyperlink>
      <w:r w:rsidRPr="5E9675D2">
        <w:rPr>
          <w:rStyle w:val="Hyperlink"/>
          <w:rFonts w:cstheme="minorBidi"/>
          <w:color w:val="auto"/>
          <w:u w:val="none"/>
        </w:rPr>
        <w:t>.</w:t>
      </w:r>
    </w:p>
    <w:p w14:paraId="643F3849" w14:textId="76A765BF" w:rsidR="5E9675D2" w:rsidRDefault="5E9675D2" w:rsidP="5E9675D2">
      <w:pPr>
        <w:shd w:val="clear" w:color="auto" w:fill="FFFFFF" w:themeFill="background1"/>
        <w:rPr>
          <w:rFonts w:cstheme="minorBidi"/>
        </w:rPr>
      </w:pPr>
    </w:p>
    <w:p w14:paraId="784C8B13" w14:textId="77777777" w:rsidR="00EC4FBB" w:rsidRDefault="00EC4FBB">
      <w:pPr>
        <w:rPr>
          <w:rFonts w:eastAsiaTheme="majorEastAsia"/>
          <w:b/>
          <w:bCs/>
          <w:color w:val="009242"/>
          <w:sz w:val="28"/>
          <w:szCs w:val="28"/>
        </w:rPr>
      </w:pPr>
      <w:r>
        <w:br w:type="page"/>
      </w:r>
    </w:p>
    <w:p w14:paraId="0C2F7526" w14:textId="0E15E05A" w:rsidR="00267304" w:rsidRPr="001636EF" w:rsidRDefault="00A0044F" w:rsidP="00EB620C">
      <w:pPr>
        <w:pStyle w:val="Heading1"/>
      </w:pPr>
      <w:bookmarkStart w:id="11" w:name="_Toc197676468"/>
      <w:r w:rsidRPr="001636EF">
        <w:t>Appendi</w:t>
      </w:r>
      <w:r w:rsidR="00267304" w:rsidRPr="001636EF">
        <w:t>ces</w:t>
      </w:r>
      <w:bookmarkEnd w:id="11"/>
    </w:p>
    <w:p w14:paraId="6406952F" w14:textId="41BBE6D7" w:rsidR="003D7F19" w:rsidRPr="001636EF" w:rsidRDefault="00267304" w:rsidP="00A30A26">
      <w:pPr>
        <w:pStyle w:val="Heading2"/>
      </w:pPr>
      <w:bookmarkStart w:id="12" w:name="_Toc197676469"/>
      <w:r w:rsidRPr="001636EF">
        <w:t>Appendix</w:t>
      </w:r>
      <w:r w:rsidR="00A0044F" w:rsidRPr="001636EF">
        <w:t xml:space="preserve"> </w:t>
      </w:r>
      <w:r w:rsidR="003D7F19" w:rsidRPr="001636EF">
        <w:t>1</w:t>
      </w:r>
      <w:r w:rsidR="00A44808">
        <w:t>–</w:t>
      </w:r>
      <w:r w:rsidR="005F636F" w:rsidRPr="001636EF">
        <w:t xml:space="preserve">Searching and </w:t>
      </w:r>
      <w:r w:rsidR="005F636F" w:rsidRPr="00C154B3">
        <w:t>screening</w:t>
      </w:r>
      <w:r w:rsidR="005F636F" w:rsidRPr="001636EF">
        <w:t xml:space="preserve"> m</w:t>
      </w:r>
      <w:r w:rsidR="003D7F19" w:rsidRPr="001636EF">
        <w:t>ethod</w:t>
      </w:r>
      <w:bookmarkEnd w:id="12"/>
    </w:p>
    <w:p w14:paraId="6C32E104" w14:textId="20FC806A" w:rsidR="003D7F19" w:rsidRPr="0074183C" w:rsidRDefault="003D7F19" w:rsidP="003D7F19">
      <w:r w:rsidRPr="001636EF">
        <w:t xml:space="preserve">We searched MEDLINE, Ovid Embase, PsycInfo bibliographic databases on Ovid, the Cochrane Database of Systematic Reviews, DynaMed and </w:t>
      </w:r>
      <w:r w:rsidR="005806B8">
        <w:t>B</w:t>
      </w:r>
      <w:r w:rsidR="00335577">
        <w:t>MJ</w:t>
      </w:r>
      <w:r w:rsidRPr="001636EF">
        <w:t xml:space="preserve"> Best Practice point of care resources, and relevant websites to identify guidelines, systematic reviews, primary studies</w:t>
      </w:r>
      <w:r w:rsidR="00A6153D" w:rsidRPr="001636EF">
        <w:t xml:space="preserve"> (when insufficient </w:t>
      </w:r>
      <w:r w:rsidR="0068048C">
        <w:t xml:space="preserve">higher levels of </w:t>
      </w:r>
      <w:r w:rsidR="00A6153D" w:rsidRPr="001636EF">
        <w:t xml:space="preserve">evidence </w:t>
      </w:r>
      <w:r w:rsidR="0068048C">
        <w:t>were</w:t>
      </w:r>
      <w:r w:rsidR="00A6153D" w:rsidRPr="001636EF">
        <w:t xml:space="preserve"> found)</w:t>
      </w:r>
      <w:r w:rsidRPr="001636EF">
        <w:t>, and NHS policy or practice documents. We did not search any study registries. We identified further useful resources iteratively, for example, by browsing reference lists within initial sources. We did not contact study authors</w:t>
      </w:r>
      <w:r w:rsidR="00485D11" w:rsidRPr="001636EF">
        <w:t>,</w:t>
      </w:r>
      <w:r w:rsidR="00303551" w:rsidRPr="001636EF">
        <w:t xml:space="preserve"> and </w:t>
      </w:r>
      <w:r w:rsidRPr="001636EF">
        <w:t xml:space="preserve">limited searches to the past ten years and English language publications and websites. We used EndNote reference management software to </w:t>
      </w:r>
      <w:r w:rsidRPr="0074183C">
        <w:t>deduplicate and manage records.</w:t>
      </w:r>
    </w:p>
    <w:p w14:paraId="5A113FD9" w14:textId="34550FCD" w:rsidR="00E1680D" w:rsidRPr="0074183C" w:rsidRDefault="00E1680D" w:rsidP="00E1680D">
      <w:r w:rsidRPr="0074183C">
        <w:t>We screened the literature search results for relevance to the topic by reviewing publication types, titles, abstracts, tables of content and executive summaries. We extracted and summarised the key findings from the included resources.</w:t>
      </w:r>
    </w:p>
    <w:p w14:paraId="1447A628" w14:textId="1A6EB876" w:rsidR="00A0044F" w:rsidRDefault="00CB7C02" w:rsidP="00A30A26">
      <w:pPr>
        <w:pStyle w:val="Heading2"/>
      </w:pPr>
      <w:bookmarkStart w:id="13" w:name="_Toc197676470"/>
      <w:r w:rsidRPr="0074183C">
        <w:t>Appendix 2</w:t>
      </w:r>
      <w:r w:rsidR="00A44808">
        <w:t>–</w:t>
      </w:r>
      <w:r w:rsidR="00A0044F" w:rsidRPr="0074183C">
        <w:t>Search strategy</w:t>
      </w:r>
      <w:bookmarkEnd w:id="13"/>
    </w:p>
    <w:p w14:paraId="3920465D" w14:textId="1042C14C" w:rsidR="007928EB" w:rsidRDefault="007928EB" w:rsidP="007928EB">
      <w:pPr>
        <w:rPr>
          <w:rFonts w:cstheme="minorHAnsi"/>
          <w:b/>
          <w:lang w:val="en-US"/>
        </w:rPr>
      </w:pPr>
      <w:r w:rsidRPr="00D57CDE">
        <w:rPr>
          <w:rFonts w:cstheme="minorHAnsi"/>
          <w:b/>
          <w:lang w:val="en-US"/>
        </w:rPr>
        <w:t>Database: Ovid MEDLINE(R) ALL &lt;1946 to January 24, 2025&gt;</w:t>
      </w:r>
    </w:p>
    <w:p w14:paraId="2F9178D7" w14:textId="6BFE3E6C" w:rsidR="007928EB" w:rsidRPr="00D57CDE" w:rsidRDefault="007928EB" w:rsidP="007928EB">
      <w:pPr>
        <w:rPr>
          <w:rFonts w:cstheme="minorHAnsi"/>
          <w:lang w:val="en-US"/>
        </w:rPr>
      </w:pPr>
      <w:r w:rsidRPr="00D57CDE">
        <w:rPr>
          <w:rFonts w:cstheme="minorHAnsi"/>
          <w:lang w:val="en-US"/>
        </w:rPr>
        <w:br/>
      </w:r>
      <w:r w:rsidRPr="00D57CDE">
        <w:rPr>
          <w:rFonts w:cstheme="minorHAnsi"/>
          <w:b/>
          <w:lang w:val="en-US"/>
        </w:rPr>
        <w:t xml:space="preserve">Search Strategy: </w:t>
      </w:r>
      <w:r w:rsidRPr="00D57CDE">
        <w:rPr>
          <w:rFonts w:cstheme="minorHAnsi"/>
          <w:lang w:val="en-US"/>
        </w:rPr>
        <w:br/>
      </w:r>
      <w:r w:rsidRPr="00D57CDE">
        <w:rPr>
          <w:rFonts w:cstheme="minorHAnsi"/>
          <w:b/>
          <w:lang w:val="en-US"/>
        </w:rPr>
        <w:t>1</w:t>
      </w:r>
      <w:r w:rsidRPr="00D57CDE">
        <w:rPr>
          <w:rFonts w:cstheme="minorHAnsi"/>
          <w:lang w:val="en-US"/>
        </w:rPr>
        <w:t xml:space="preserve"> exp *Gynecomastia/ or gynaecomastia.mp. (3081) </w:t>
      </w:r>
      <w:r w:rsidRPr="00D57CDE">
        <w:rPr>
          <w:rFonts w:cstheme="minorHAnsi"/>
          <w:lang w:val="en-US"/>
        </w:rPr>
        <w:br/>
      </w:r>
      <w:r w:rsidRPr="00D57CDE">
        <w:rPr>
          <w:rFonts w:cstheme="minorHAnsi"/>
          <w:b/>
          <w:lang w:val="en-US"/>
        </w:rPr>
        <w:t>2</w:t>
      </w:r>
      <w:r w:rsidRPr="00D57CDE">
        <w:rPr>
          <w:rFonts w:cstheme="minorHAnsi"/>
          <w:lang w:val="en-US"/>
        </w:rPr>
        <w:t xml:space="preserve"> exp *Young Adult/ or exp *Adult/ or adult.mp. (6467518) </w:t>
      </w:r>
      <w:r w:rsidRPr="00D57CDE">
        <w:rPr>
          <w:rFonts w:cstheme="minorHAnsi"/>
          <w:lang w:val="en-US"/>
        </w:rPr>
        <w:br/>
      </w:r>
      <w:r w:rsidRPr="00D57CDE">
        <w:rPr>
          <w:rFonts w:cstheme="minorHAnsi"/>
          <w:b/>
          <w:lang w:val="en-US"/>
        </w:rPr>
        <w:t>3</w:t>
      </w:r>
      <w:r w:rsidRPr="00D57CDE">
        <w:rPr>
          <w:rFonts w:cstheme="minorHAnsi"/>
          <w:lang w:val="en-US"/>
        </w:rPr>
        <w:t xml:space="preserve"> 1 and 2 (1143) </w:t>
      </w:r>
      <w:r w:rsidRPr="00D57CDE">
        <w:rPr>
          <w:rFonts w:cstheme="minorHAnsi"/>
          <w:lang w:val="en-US"/>
        </w:rPr>
        <w:br/>
      </w:r>
      <w:r w:rsidRPr="00D57CDE">
        <w:rPr>
          <w:rFonts w:cstheme="minorHAnsi"/>
          <w:b/>
          <w:lang w:val="en-US"/>
        </w:rPr>
        <w:t>4</w:t>
      </w:r>
      <w:r w:rsidRPr="00D57CDE">
        <w:rPr>
          <w:rFonts w:cstheme="minorHAnsi"/>
          <w:lang w:val="en-US"/>
        </w:rPr>
        <w:t xml:space="preserve"> pediatric.mp. or exp *Pediatrics/ (455483) </w:t>
      </w:r>
      <w:r w:rsidRPr="00D57CDE">
        <w:rPr>
          <w:rFonts w:cstheme="minorHAnsi"/>
          <w:lang w:val="en-US"/>
        </w:rPr>
        <w:br/>
      </w:r>
      <w:r w:rsidRPr="00D57CDE">
        <w:rPr>
          <w:rFonts w:cstheme="minorHAnsi"/>
          <w:b/>
          <w:lang w:val="en-US"/>
        </w:rPr>
        <w:t>5</w:t>
      </w:r>
      <w:r w:rsidRPr="00D57CDE">
        <w:rPr>
          <w:rFonts w:cstheme="minorHAnsi"/>
          <w:lang w:val="en-US"/>
        </w:rPr>
        <w:t xml:space="preserve"> exp *Infant/ or exp *Child/ or paediatric.mp. (155337) </w:t>
      </w:r>
      <w:r w:rsidRPr="00D57CDE">
        <w:rPr>
          <w:rFonts w:cstheme="minorHAnsi"/>
          <w:lang w:val="en-US"/>
        </w:rPr>
        <w:br/>
      </w:r>
      <w:r w:rsidRPr="00D57CDE">
        <w:rPr>
          <w:rFonts w:cstheme="minorHAnsi"/>
          <w:b/>
          <w:lang w:val="en-US"/>
        </w:rPr>
        <w:t>6</w:t>
      </w:r>
      <w:r w:rsidRPr="00D57CDE">
        <w:rPr>
          <w:rFonts w:cstheme="minorHAnsi"/>
          <w:lang w:val="en-US"/>
        </w:rPr>
        <w:t xml:space="preserve"> 4 or 5 (595159) </w:t>
      </w:r>
      <w:r w:rsidRPr="00D57CDE">
        <w:rPr>
          <w:rFonts w:cstheme="minorHAnsi"/>
          <w:lang w:val="en-US"/>
        </w:rPr>
        <w:br/>
      </w:r>
      <w:r w:rsidRPr="00D57CDE">
        <w:rPr>
          <w:rFonts w:cstheme="minorHAnsi"/>
          <w:b/>
          <w:lang w:val="en-US"/>
        </w:rPr>
        <w:t>7</w:t>
      </w:r>
      <w:r w:rsidRPr="00D57CDE">
        <w:rPr>
          <w:rFonts w:cstheme="minorHAnsi"/>
          <w:lang w:val="en-US"/>
        </w:rPr>
        <w:t xml:space="preserve"> 3 not 6 (1134) </w:t>
      </w:r>
      <w:r w:rsidRPr="00D57CDE">
        <w:rPr>
          <w:rFonts w:cstheme="minorHAnsi"/>
          <w:lang w:val="en-US"/>
        </w:rPr>
        <w:br/>
      </w:r>
      <w:r w:rsidRPr="00D57CDE">
        <w:rPr>
          <w:rFonts w:cstheme="minorHAnsi"/>
          <w:b/>
          <w:lang w:val="en-US"/>
        </w:rPr>
        <w:t>8</w:t>
      </w:r>
      <w:r w:rsidRPr="00D57CDE">
        <w:rPr>
          <w:rFonts w:cstheme="minorHAnsi"/>
          <w:lang w:val="en-US"/>
        </w:rPr>
        <w:t xml:space="preserve"> surgery.mp. or exp *General Surgery/ (3255814) </w:t>
      </w:r>
      <w:r w:rsidRPr="00D57CDE">
        <w:rPr>
          <w:rFonts w:cstheme="minorHAnsi"/>
          <w:lang w:val="en-US"/>
        </w:rPr>
        <w:br/>
      </w:r>
      <w:r w:rsidRPr="00D57CDE">
        <w:rPr>
          <w:rFonts w:cstheme="minorHAnsi"/>
          <w:b/>
          <w:lang w:val="en-US"/>
        </w:rPr>
        <w:t>9</w:t>
      </w:r>
      <w:r w:rsidRPr="00D57CDE">
        <w:rPr>
          <w:rFonts w:cstheme="minorHAnsi"/>
          <w:lang w:val="en-US"/>
        </w:rPr>
        <w:t xml:space="preserve"> surgical.mp. (1696245) </w:t>
      </w:r>
      <w:r w:rsidRPr="00D57CDE">
        <w:rPr>
          <w:rFonts w:cstheme="minorHAnsi"/>
          <w:lang w:val="en-US"/>
        </w:rPr>
        <w:br/>
      </w:r>
      <w:r w:rsidRPr="00D57CDE">
        <w:rPr>
          <w:rFonts w:cstheme="minorHAnsi"/>
          <w:b/>
          <w:lang w:val="en-US"/>
        </w:rPr>
        <w:t>10</w:t>
      </w:r>
      <w:r w:rsidRPr="00D57CDE">
        <w:rPr>
          <w:rFonts w:cstheme="minorHAnsi"/>
          <w:lang w:val="en-US"/>
        </w:rPr>
        <w:t xml:space="preserve"> plastic surgery.mp. or exp *Surgery, Plastic/ (92339) </w:t>
      </w:r>
      <w:r w:rsidRPr="00D57CDE">
        <w:rPr>
          <w:rFonts w:cstheme="minorHAnsi"/>
          <w:lang w:val="en-US"/>
        </w:rPr>
        <w:br/>
      </w:r>
      <w:r w:rsidRPr="00D57CDE">
        <w:rPr>
          <w:rFonts w:cstheme="minorHAnsi"/>
          <w:b/>
          <w:lang w:val="en-US"/>
        </w:rPr>
        <w:t>11</w:t>
      </w:r>
      <w:r w:rsidRPr="00D57CDE">
        <w:rPr>
          <w:rFonts w:cstheme="minorHAnsi"/>
          <w:lang w:val="en-US"/>
        </w:rPr>
        <w:t xml:space="preserve"> 8 or 9 or 10 (3770073) </w:t>
      </w:r>
      <w:r w:rsidRPr="00D57CDE">
        <w:rPr>
          <w:rFonts w:cstheme="minorHAnsi"/>
          <w:lang w:val="en-US"/>
        </w:rPr>
        <w:br/>
      </w:r>
      <w:r w:rsidRPr="00D57CDE">
        <w:rPr>
          <w:rFonts w:cstheme="minorHAnsi"/>
          <w:b/>
          <w:lang w:val="en-US"/>
        </w:rPr>
        <w:t>12</w:t>
      </w:r>
      <w:r w:rsidRPr="00D57CDE">
        <w:rPr>
          <w:rFonts w:cstheme="minorHAnsi"/>
          <w:lang w:val="en-US"/>
        </w:rPr>
        <w:t xml:space="preserve"> 7 and 11 (359) </w:t>
      </w:r>
      <w:r w:rsidRPr="00D57CDE">
        <w:rPr>
          <w:rFonts w:cstheme="minorHAnsi"/>
          <w:lang w:val="en-US"/>
        </w:rPr>
        <w:br/>
      </w:r>
      <w:r w:rsidRPr="00D57CDE">
        <w:rPr>
          <w:rFonts w:cstheme="minorHAnsi"/>
          <w:b/>
          <w:lang w:val="en-US"/>
        </w:rPr>
        <w:t>13</w:t>
      </w:r>
      <w:r w:rsidRPr="00D57CDE">
        <w:rPr>
          <w:rFonts w:cstheme="minorHAnsi"/>
          <w:lang w:val="en-US"/>
        </w:rPr>
        <w:t xml:space="preserve"> limit 12 to (abstracts and yr="2016 -Current") (83) </w:t>
      </w:r>
      <w:r w:rsidRPr="00D57CDE">
        <w:rPr>
          <w:rFonts w:cstheme="minorHAnsi"/>
          <w:lang w:val="en-US"/>
        </w:rPr>
        <w:br/>
      </w:r>
      <w:r w:rsidRPr="00D57CDE">
        <w:rPr>
          <w:rFonts w:cstheme="minorHAnsi"/>
          <w:b/>
          <w:lang w:val="en-US"/>
        </w:rPr>
        <w:t>14</w:t>
      </w:r>
      <w:r w:rsidRPr="00D57CDE">
        <w:rPr>
          <w:rFonts w:cstheme="minorHAnsi"/>
          <w:lang w:val="en-US"/>
        </w:rPr>
        <w:t xml:space="preserve"> limit 13 to "systematic review" (1) </w:t>
      </w:r>
      <w:r w:rsidRPr="00D57CDE">
        <w:rPr>
          <w:rFonts w:cstheme="minorHAnsi"/>
          <w:lang w:val="en-US"/>
        </w:rPr>
        <w:br/>
      </w:r>
      <w:r w:rsidRPr="00D57CDE">
        <w:rPr>
          <w:rFonts w:cstheme="minorHAnsi"/>
          <w:b/>
          <w:lang w:val="en-US"/>
        </w:rPr>
        <w:t>15</w:t>
      </w:r>
      <w:r w:rsidRPr="00D57CDE">
        <w:rPr>
          <w:rFonts w:cstheme="minorHAnsi"/>
          <w:lang w:val="en-US"/>
        </w:rPr>
        <w:t xml:space="preserve"> limit 14 to (comparative study or controlled clinical trial or equivalence trial or evaluation study or observational study) (0) </w:t>
      </w:r>
      <w:r w:rsidRPr="00D57CDE">
        <w:rPr>
          <w:rFonts w:cstheme="minorHAnsi"/>
          <w:lang w:val="en-US"/>
        </w:rPr>
        <w:br/>
      </w:r>
      <w:r w:rsidRPr="00D57CDE">
        <w:rPr>
          <w:rFonts w:cstheme="minorHAnsi"/>
          <w:b/>
          <w:lang w:val="en-US"/>
        </w:rPr>
        <w:t>16</w:t>
      </w:r>
      <w:r w:rsidRPr="00D57CDE">
        <w:rPr>
          <w:rFonts w:cstheme="minorHAnsi"/>
          <w:lang w:val="en-US"/>
        </w:rPr>
        <w:t xml:space="preserve"> exp *Androgen Antagonists/ or tamoxifen.mp. or exp *Tamoxifen/ (44047) </w:t>
      </w:r>
      <w:r w:rsidRPr="00D57CDE">
        <w:rPr>
          <w:rFonts w:cstheme="minorHAnsi"/>
          <w:lang w:val="en-US"/>
        </w:rPr>
        <w:br/>
      </w:r>
      <w:r w:rsidRPr="00D57CDE">
        <w:rPr>
          <w:rFonts w:cstheme="minorHAnsi"/>
          <w:b/>
          <w:lang w:val="en-US"/>
        </w:rPr>
        <w:t>17</w:t>
      </w:r>
      <w:r w:rsidRPr="00D57CDE">
        <w:rPr>
          <w:rFonts w:cstheme="minorHAnsi"/>
          <w:lang w:val="en-US"/>
        </w:rPr>
        <w:t xml:space="preserve"> exp *Testosterone/ or exp *Androgens/ or androgen therapies.mp. (58113) </w:t>
      </w:r>
      <w:r w:rsidRPr="00D57CDE">
        <w:rPr>
          <w:rFonts w:cstheme="minorHAnsi"/>
          <w:lang w:val="en-US"/>
        </w:rPr>
        <w:br/>
      </w:r>
      <w:r w:rsidRPr="00D57CDE">
        <w:rPr>
          <w:rFonts w:cstheme="minorHAnsi"/>
          <w:b/>
          <w:lang w:val="en-US"/>
        </w:rPr>
        <w:t>18</w:t>
      </w:r>
      <w:r w:rsidRPr="00D57CDE">
        <w:rPr>
          <w:rFonts w:cstheme="minorHAnsi"/>
          <w:lang w:val="en-US"/>
        </w:rPr>
        <w:t xml:space="preserve"> 16 or 17 (100759) </w:t>
      </w:r>
      <w:r w:rsidRPr="00D57CDE">
        <w:rPr>
          <w:rFonts w:cstheme="minorHAnsi"/>
          <w:lang w:val="en-US"/>
        </w:rPr>
        <w:br/>
      </w:r>
      <w:r w:rsidRPr="00D57CDE">
        <w:rPr>
          <w:rFonts w:cstheme="minorHAnsi"/>
          <w:b/>
          <w:lang w:val="en-US"/>
        </w:rPr>
        <w:t>19</w:t>
      </w:r>
      <w:r w:rsidRPr="00D57CDE">
        <w:rPr>
          <w:rFonts w:cstheme="minorHAnsi"/>
          <w:lang w:val="en-US"/>
        </w:rPr>
        <w:t> 13 and 18 (7)</w:t>
      </w:r>
    </w:p>
    <w:p w14:paraId="7AD5A5AC" w14:textId="77777777" w:rsidR="007928EB" w:rsidRPr="00D57CDE" w:rsidRDefault="00894269" w:rsidP="007928EB">
      <w:pPr>
        <w:rPr>
          <w:rFonts w:cstheme="minorHAnsi"/>
          <w:lang w:val="en-US"/>
        </w:rPr>
      </w:pPr>
      <w:r>
        <w:rPr>
          <w:rFonts w:cstheme="minorHAnsi"/>
          <w:lang w:val="en-US"/>
        </w:rPr>
        <w:pict w14:anchorId="03B41B8C">
          <v:rect id="_x0000_i1025" style="width:468pt;height:1pt" o:hralign="center" o:hrstd="t" o:hr="t" fillcolor="#a0a0a0" stroked="f"/>
        </w:pict>
      </w:r>
    </w:p>
    <w:p w14:paraId="7141A1F4" w14:textId="77777777" w:rsidR="007928EB" w:rsidRPr="007928EB" w:rsidRDefault="007928EB" w:rsidP="007928EB">
      <w:pPr>
        <w:spacing w:after="0" w:line="240" w:lineRule="auto"/>
        <w:rPr>
          <w:rFonts w:cstheme="minorHAnsi"/>
          <w:b/>
          <w:bCs/>
        </w:rPr>
      </w:pPr>
      <w:r w:rsidRPr="007928EB">
        <w:rPr>
          <w:rFonts w:cstheme="minorHAnsi"/>
          <w:b/>
          <w:bCs/>
        </w:rPr>
        <w:t>Search Name:</w:t>
      </w:r>
      <w:r w:rsidRPr="007928EB">
        <w:rPr>
          <w:rFonts w:cstheme="minorHAnsi"/>
          <w:b/>
          <w:bCs/>
        </w:rPr>
        <w:tab/>
        <w:t>Cochrane</w:t>
      </w:r>
    </w:p>
    <w:p w14:paraId="7DEF122F" w14:textId="77777777" w:rsidR="007928EB" w:rsidRDefault="007928EB" w:rsidP="007928EB">
      <w:pPr>
        <w:spacing w:after="0" w:line="240" w:lineRule="auto"/>
        <w:rPr>
          <w:rFonts w:cstheme="minorHAnsi"/>
          <w:b/>
          <w:bCs/>
        </w:rPr>
      </w:pPr>
      <w:r w:rsidRPr="007928EB">
        <w:rPr>
          <w:rFonts w:cstheme="minorHAnsi"/>
          <w:b/>
          <w:bCs/>
        </w:rPr>
        <w:t>Date Run:</w:t>
      </w:r>
      <w:r w:rsidRPr="007928EB">
        <w:rPr>
          <w:rFonts w:cstheme="minorHAnsi"/>
          <w:b/>
          <w:bCs/>
        </w:rPr>
        <w:tab/>
        <w:t>29/01/2025 01:37:22</w:t>
      </w:r>
    </w:p>
    <w:p w14:paraId="463F85CD" w14:textId="77777777" w:rsidR="007928EB" w:rsidRPr="007928EB" w:rsidRDefault="007928EB" w:rsidP="007928EB">
      <w:pPr>
        <w:spacing w:after="0" w:line="240" w:lineRule="auto"/>
        <w:rPr>
          <w:rFonts w:cstheme="minorHAnsi"/>
          <w:b/>
          <w:bCs/>
        </w:rPr>
      </w:pPr>
    </w:p>
    <w:p w14:paraId="4544B657" w14:textId="77777777" w:rsidR="007928EB" w:rsidRPr="007928EB" w:rsidRDefault="007928EB" w:rsidP="007928EB">
      <w:pPr>
        <w:spacing w:after="0" w:line="240" w:lineRule="auto"/>
        <w:rPr>
          <w:rFonts w:cstheme="minorHAnsi"/>
          <w:b/>
          <w:bCs/>
        </w:rPr>
      </w:pPr>
      <w:r w:rsidRPr="007928EB">
        <w:rPr>
          <w:rFonts w:cstheme="minorHAnsi"/>
          <w:b/>
          <w:bCs/>
        </w:rPr>
        <w:t>ID</w:t>
      </w:r>
      <w:r w:rsidRPr="007928EB">
        <w:rPr>
          <w:rFonts w:cstheme="minorHAnsi"/>
          <w:b/>
          <w:bCs/>
        </w:rPr>
        <w:tab/>
        <w:t>Search</w:t>
      </w:r>
      <w:r w:rsidRPr="007928EB">
        <w:rPr>
          <w:rFonts w:cstheme="minorHAnsi"/>
          <w:b/>
          <w:bCs/>
        </w:rPr>
        <w:tab/>
        <w:t>Hits</w:t>
      </w:r>
    </w:p>
    <w:p w14:paraId="78140989" w14:textId="77777777" w:rsidR="007928EB" w:rsidRPr="00D57CDE" w:rsidRDefault="007928EB" w:rsidP="007928EB">
      <w:pPr>
        <w:spacing w:after="0" w:line="240" w:lineRule="auto"/>
        <w:rPr>
          <w:rFonts w:cstheme="minorHAnsi"/>
        </w:rPr>
      </w:pPr>
      <w:r w:rsidRPr="00D57CDE">
        <w:rPr>
          <w:rFonts w:cstheme="minorHAnsi"/>
        </w:rPr>
        <w:t>#1</w:t>
      </w:r>
      <w:r w:rsidRPr="00D57CDE">
        <w:rPr>
          <w:rFonts w:cstheme="minorHAnsi"/>
        </w:rPr>
        <w:tab/>
        <w:t>gynaecomastia</w:t>
      </w:r>
      <w:r w:rsidRPr="00D57CDE">
        <w:rPr>
          <w:rFonts w:cstheme="minorHAnsi"/>
        </w:rPr>
        <w:tab/>
        <w:t>504</w:t>
      </w:r>
    </w:p>
    <w:p w14:paraId="33BEB61F" w14:textId="77777777" w:rsidR="007928EB" w:rsidRPr="00D57CDE" w:rsidRDefault="007928EB" w:rsidP="007928EB">
      <w:pPr>
        <w:spacing w:after="0" w:line="240" w:lineRule="auto"/>
        <w:rPr>
          <w:rFonts w:cstheme="minorHAnsi"/>
        </w:rPr>
      </w:pPr>
      <w:r w:rsidRPr="00D57CDE">
        <w:rPr>
          <w:rFonts w:cstheme="minorHAnsi"/>
        </w:rPr>
        <w:t>#2</w:t>
      </w:r>
      <w:r w:rsidRPr="00D57CDE">
        <w:rPr>
          <w:rFonts w:cstheme="minorHAnsi"/>
        </w:rPr>
        <w:tab/>
        <w:t>MeSH descriptor: [Gynecomastia] explode all trees</w:t>
      </w:r>
      <w:r w:rsidRPr="00D57CDE">
        <w:rPr>
          <w:rFonts w:cstheme="minorHAnsi"/>
        </w:rPr>
        <w:tab/>
        <w:t>85</w:t>
      </w:r>
    </w:p>
    <w:p w14:paraId="365D85B9" w14:textId="77777777" w:rsidR="007928EB" w:rsidRPr="00D57CDE" w:rsidRDefault="007928EB" w:rsidP="007928EB">
      <w:pPr>
        <w:spacing w:after="0" w:line="240" w:lineRule="auto"/>
        <w:rPr>
          <w:rFonts w:cstheme="minorHAnsi"/>
        </w:rPr>
      </w:pPr>
      <w:r w:rsidRPr="00D57CDE">
        <w:rPr>
          <w:rFonts w:cstheme="minorHAnsi"/>
        </w:rPr>
        <w:t>#3</w:t>
      </w:r>
      <w:r w:rsidRPr="00D57CDE">
        <w:rPr>
          <w:rFonts w:cstheme="minorHAnsi"/>
        </w:rPr>
        <w:tab/>
        <w:t>gynecomastia</w:t>
      </w:r>
      <w:r w:rsidRPr="00D57CDE">
        <w:rPr>
          <w:rFonts w:cstheme="minorHAnsi"/>
        </w:rPr>
        <w:tab/>
        <w:t>504</w:t>
      </w:r>
    </w:p>
    <w:p w14:paraId="3CDFE878" w14:textId="77777777" w:rsidR="007928EB" w:rsidRPr="00D57CDE" w:rsidRDefault="007928EB" w:rsidP="007928EB">
      <w:pPr>
        <w:spacing w:after="0" w:line="240" w:lineRule="auto"/>
        <w:rPr>
          <w:rFonts w:cstheme="minorHAnsi"/>
        </w:rPr>
      </w:pPr>
      <w:r w:rsidRPr="00D57CDE">
        <w:rPr>
          <w:rFonts w:cstheme="minorHAnsi"/>
        </w:rPr>
        <w:t>#4</w:t>
      </w:r>
      <w:r w:rsidRPr="00D57CDE">
        <w:rPr>
          <w:rFonts w:cstheme="minorHAnsi"/>
        </w:rPr>
        <w:tab/>
        <w:t>#1 or #2 or #3 with Cochrane Library publication date Between Jan 2016 and Jan 2025</w:t>
      </w:r>
      <w:r w:rsidRPr="00D57CDE">
        <w:rPr>
          <w:rFonts w:cstheme="minorHAnsi"/>
        </w:rPr>
        <w:tab/>
        <w:t>257</w:t>
      </w:r>
    </w:p>
    <w:p w14:paraId="74E60A66" w14:textId="77777777" w:rsidR="007928EB" w:rsidRPr="00D57CDE" w:rsidRDefault="007928EB" w:rsidP="007928EB">
      <w:pPr>
        <w:spacing w:after="0" w:line="240" w:lineRule="auto"/>
        <w:rPr>
          <w:rFonts w:cstheme="minorHAnsi"/>
        </w:rPr>
      </w:pPr>
      <w:r w:rsidRPr="00D57CDE">
        <w:rPr>
          <w:rFonts w:cstheme="minorHAnsi"/>
        </w:rPr>
        <w:t>#5</w:t>
      </w:r>
      <w:r w:rsidRPr="00D57CDE">
        <w:rPr>
          <w:rFonts w:cstheme="minorHAnsi"/>
        </w:rPr>
        <w:tab/>
        <w:t>surgery</w:t>
      </w:r>
      <w:r w:rsidRPr="00D57CDE">
        <w:rPr>
          <w:rFonts w:cstheme="minorHAnsi"/>
        </w:rPr>
        <w:tab/>
        <w:t>338189</w:t>
      </w:r>
    </w:p>
    <w:p w14:paraId="3829DDD8" w14:textId="77777777" w:rsidR="007928EB" w:rsidRPr="00AF0596" w:rsidRDefault="007928EB" w:rsidP="007928EB">
      <w:pPr>
        <w:spacing w:after="0" w:line="240" w:lineRule="auto"/>
        <w:rPr>
          <w:rFonts w:cstheme="minorHAnsi"/>
        </w:rPr>
      </w:pPr>
      <w:r w:rsidRPr="00AF0596">
        <w:rPr>
          <w:rFonts w:cstheme="minorHAnsi"/>
        </w:rPr>
        <w:t>#6</w:t>
      </w:r>
      <w:r w:rsidRPr="00AF0596">
        <w:rPr>
          <w:rFonts w:cstheme="minorHAnsi"/>
        </w:rPr>
        <w:tab/>
        <w:t>MeSH descriptor: [General Surgery] explode all trees</w:t>
      </w:r>
      <w:r w:rsidRPr="00AF0596">
        <w:rPr>
          <w:rFonts w:cstheme="minorHAnsi"/>
        </w:rPr>
        <w:tab/>
        <w:t>512</w:t>
      </w:r>
    </w:p>
    <w:p w14:paraId="39308BCC" w14:textId="77777777" w:rsidR="007928EB" w:rsidRPr="00AF0596" w:rsidRDefault="007928EB" w:rsidP="007928EB">
      <w:pPr>
        <w:spacing w:after="0" w:line="240" w:lineRule="auto"/>
        <w:rPr>
          <w:rFonts w:cstheme="minorHAnsi"/>
        </w:rPr>
      </w:pPr>
      <w:r w:rsidRPr="00AF0596">
        <w:rPr>
          <w:rFonts w:cstheme="minorHAnsi"/>
        </w:rPr>
        <w:t>#7</w:t>
      </w:r>
      <w:r w:rsidRPr="00AF0596">
        <w:rPr>
          <w:rFonts w:cstheme="minorHAnsi"/>
        </w:rPr>
        <w:tab/>
        <w:t>MeSH descriptor: [Plastic Surgery Procedures] explode all trees</w:t>
      </w:r>
      <w:r w:rsidRPr="00AF0596">
        <w:rPr>
          <w:rFonts w:cstheme="minorHAnsi"/>
        </w:rPr>
        <w:tab/>
        <w:t>13786</w:t>
      </w:r>
    </w:p>
    <w:p w14:paraId="166FF345" w14:textId="77777777" w:rsidR="007928EB" w:rsidRPr="00AF0596" w:rsidRDefault="007928EB" w:rsidP="007928EB">
      <w:pPr>
        <w:spacing w:after="0" w:line="240" w:lineRule="auto"/>
        <w:rPr>
          <w:rFonts w:cstheme="minorHAnsi"/>
        </w:rPr>
      </w:pPr>
      <w:r w:rsidRPr="00AF0596">
        <w:rPr>
          <w:rFonts w:cstheme="minorHAnsi"/>
        </w:rPr>
        <w:t>#8</w:t>
      </w:r>
      <w:r w:rsidRPr="00AF0596">
        <w:rPr>
          <w:rFonts w:cstheme="minorHAnsi"/>
        </w:rPr>
        <w:tab/>
        <w:t>#5 or #6 or #7</w:t>
      </w:r>
      <w:r w:rsidRPr="00AF0596">
        <w:rPr>
          <w:rFonts w:cstheme="minorHAnsi"/>
        </w:rPr>
        <w:tab/>
        <w:t>339937</w:t>
      </w:r>
    </w:p>
    <w:p w14:paraId="4B8D4391" w14:textId="5FD44F98" w:rsidR="00F74B23" w:rsidRPr="00F74B23" w:rsidRDefault="007928EB" w:rsidP="007928EB">
      <w:pPr>
        <w:spacing w:after="0" w:line="240" w:lineRule="auto"/>
      </w:pPr>
      <w:r w:rsidRPr="00AF0596">
        <w:rPr>
          <w:rFonts w:cstheme="minorHAnsi"/>
        </w:rPr>
        <w:t>#9</w:t>
      </w:r>
      <w:r w:rsidRPr="00AF0596">
        <w:rPr>
          <w:rFonts w:cstheme="minorHAnsi"/>
        </w:rPr>
        <w:tab/>
        <w:t>#4 and #8</w:t>
      </w:r>
      <w:r w:rsidRPr="00AF0596">
        <w:rPr>
          <w:rFonts w:cstheme="minorHAnsi"/>
        </w:rPr>
        <w:tab/>
        <w:t>74</w:t>
      </w:r>
    </w:p>
    <w:sectPr w:rsidR="00F74B23" w:rsidRPr="00F74B23" w:rsidSect="001F1C68">
      <w:footerReference w:type="default" r:id="rId26"/>
      <w:endnotePr>
        <w:numFmt w:val="decimal"/>
      </w:endnotePr>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F1440" w14:textId="77777777" w:rsidR="00304F5B" w:rsidRDefault="00304F5B" w:rsidP="00B15943">
      <w:r>
        <w:separator/>
      </w:r>
    </w:p>
  </w:endnote>
  <w:endnote w:type="continuationSeparator" w:id="0">
    <w:p w14:paraId="38E6AAD9" w14:textId="77777777" w:rsidR="00304F5B" w:rsidRDefault="00304F5B" w:rsidP="00B15943">
      <w:r>
        <w:continuationSeparator/>
      </w:r>
    </w:p>
  </w:endnote>
  <w:endnote w:type="continuationNotice" w:id="1">
    <w:p w14:paraId="043083CD" w14:textId="77777777" w:rsidR="00304F5B" w:rsidRDefault="00304F5B" w:rsidP="00B15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DE93" w14:textId="06A3BEDE" w:rsidR="004C04CB" w:rsidRPr="004470EE" w:rsidRDefault="00894269" w:rsidP="00B15943">
    <w:pPr>
      <w:pStyle w:val="Footer"/>
    </w:pPr>
    <w:sdt>
      <w:sdtPr>
        <w:id w:val="1488745784"/>
        <w:docPartObj>
          <w:docPartGallery w:val="Page Numbers (Bottom of Page)"/>
          <w:docPartUnique/>
        </w:docPartObj>
      </w:sdtPr>
      <w:sdtEndPr/>
      <w:sdtContent>
        <w:r w:rsidR="004C04CB" w:rsidRPr="004470EE">
          <w:fldChar w:fldCharType="begin"/>
        </w:r>
        <w:r w:rsidR="004C04CB" w:rsidRPr="004470EE">
          <w:instrText>PAGE   \* MERGEFORMAT</w:instrText>
        </w:r>
        <w:r w:rsidR="004C04CB" w:rsidRPr="004470EE">
          <w:fldChar w:fldCharType="separate"/>
        </w:r>
        <w:r w:rsidR="004C04CB" w:rsidRPr="004470EE">
          <w:t>2</w:t>
        </w:r>
        <w:r w:rsidR="004C04CB" w:rsidRPr="004470E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CB16" w14:textId="77777777" w:rsidR="00304F5B" w:rsidRDefault="00304F5B" w:rsidP="00B15943">
      <w:r>
        <w:separator/>
      </w:r>
    </w:p>
  </w:footnote>
  <w:footnote w:type="continuationSeparator" w:id="0">
    <w:p w14:paraId="7144656D" w14:textId="77777777" w:rsidR="00304F5B" w:rsidRDefault="00304F5B" w:rsidP="00B15943">
      <w:r>
        <w:continuationSeparator/>
      </w:r>
    </w:p>
  </w:footnote>
  <w:footnote w:type="continuationNotice" w:id="1">
    <w:p w14:paraId="14CD452F" w14:textId="77777777" w:rsidR="00304F5B" w:rsidRDefault="00304F5B" w:rsidP="00B159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A47FF"/>
    <w:multiLevelType w:val="hybridMultilevel"/>
    <w:tmpl w:val="F93C177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E886A6A"/>
    <w:multiLevelType w:val="multilevel"/>
    <w:tmpl w:val="D3945F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6D535662"/>
    <w:multiLevelType w:val="hybridMultilevel"/>
    <w:tmpl w:val="861C4038"/>
    <w:lvl w:ilvl="0" w:tplc="2B84ED3C">
      <w:start w:val="1"/>
      <w:numFmt w:val="bullet"/>
      <w:pStyle w:val="ListParagraph"/>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6049112">
    <w:abstractNumId w:val="2"/>
  </w:num>
  <w:num w:numId="2" w16cid:durableId="1799296356">
    <w:abstractNumId w:val="1"/>
  </w:num>
  <w:num w:numId="3" w16cid:durableId="110299700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IS Vancouver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0wfxef0dzw5depdfsvrt0gv0ezts02srap&quot;&gt;Mastopexy&lt;record-ids&gt;&lt;item&gt;1&lt;/item&gt;&lt;item&gt;2&lt;/item&gt;&lt;item&gt;3&lt;/item&gt;&lt;item&gt;57&lt;/item&gt;&lt;item&gt;58&lt;/item&gt;&lt;item&gt;59&lt;/item&gt;&lt;/record-ids&gt;&lt;/item&gt;&lt;/Libraries&gt;"/>
  </w:docVars>
  <w:rsids>
    <w:rsidRoot w:val="00AE7B08"/>
    <w:rsid w:val="00003D54"/>
    <w:rsid w:val="0000692F"/>
    <w:rsid w:val="00007A8F"/>
    <w:rsid w:val="0001295D"/>
    <w:rsid w:val="00013BB7"/>
    <w:rsid w:val="00017636"/>
    <w:rsid w:val="00023621"/>
    <w:rsid w:val="0002622F"/>
    <w:rsid w:val="00030406"/>
    <w:rsid w:val="00037D2C"/>
    <w:rsid w:val="00041337"/>
    <w:rsid w:val="000417C9"/>
    <w:rsid w:val="00047689"/>
    <w:rsid w:val="00047A34"/>
    <w:rsid w:val="00052073"/>
    <w:rsid w:val="00052939"/>
    <w:rsid w:val="000611B2"/>
    <w:rsid w:val="00061E20"/>
    <w:rsid w:val="00062D66"/>
    <w:rsid w:val="00062F6D"/>
    <w:rsid w:val="00064AF9"/>
    <w:rsid w:val="00072F9E"/>
    <w:rsid w:val="000730C4"/>
    <w:rsid w:val="00074646"/>
    <w:rsid w:val="00075F6A"/>
    <w:rsid w:val="0008022E"/>
    <w:rsid w:val="000906B0"/>
    <w:rsid w:val="000919B2"/>
    <w:rsid w:val="00093B31"/>
    <w:rsid w:val="000956B3"/>
    <w:rsid w:val="000968FC"/>
    <w:rsid w:val="0009702A"/>
    <w:rsid w:val="00097BB7"/>
    <w:rsid w:val="000A0BF8"/>
    <w:rsid w:val="000A3BC5"/>
    <w:rsid w:val="000A4002"/>
    <w:rsid w:val="000B22DF"/>
    <w:rsid w:val="000B27B0"/>
    <w:rsid w:val="000B2FFA"/>
    <w:rsid w:val="000B4E00"/>
    <w:rsid w:val="000C0458"/>
    <w:rsid w:val="000C09B6"/>
    <w:rsid w:val="000C0F6F"/>
    <w:rsid w:val="000C4F44"/>
    <w:rsid w:val="000C567B"/>
    <w:rsid w:val="000D4F30"/>
    <w:rsid w:val="000D7AE8"/>
    <w:rsid w:val="000D7DF1"/>
    <w:rsid w:val="000E2370"/>
    <w:rsid w:val="000E291C"/>
    <w:rsid w:val="000E417F"/>
    <w:rsid w:val="000E4770"/>
    <w:rsid w:val="000E47F5"/>
    <w:rsid w:val="000E56C2"/>
    <w:rsid w:val="000E7C63"/>
    <w:rsid w:val="000F4243"/>
    <w:rsid w:val="000F638C"/>
    <w:rsid w:val="000F7ABB"/>
    <w:rsid w:val="00100E78"/>
    <w:rsid w:val="00103DB5"/>
    <w:rsid w:val="001041E8"/>
    <w:rsid w:val="00104253"/>
    <w:rsid w:val="00104EDF"/>
    <w:rsid w:val="001059AB"/>
    <w:rsid w:val="00106B6D"/>
    <w:rsid w:val="001072BD"/>
    <w:rsid w:val="00110AF1"/>
    <w:rsid w:val="0011281B"/>
    <w:rsid w:val="00117651"/>
    <w:rsid w:val="00117902"/>
    <w:rsid w:val="001202B4"/>
    <w:rsid w:val="001225DC"/>
    <w:rsid w:val="001249A5"/>
    <w:rsid w:val="00131593"/>
    <w:rsid w:val="001357C4"/>
    <w:rsid w:val="0013581B"/>
    <w:rsid w:val="00135D72"/>
    <w:rsid w:val="001374D7"/>
    <w:rsid w:val="00144E36"/>
    <w:rsid w:val="00145960"/>
    <w:rsid w:val="00145F4F"/>
    <w:rsid w:val="001475F8"/>
    <w:rsid w:val="00150B2C"/>
    <w:rsid w:val="00156B90"/>
    <w:rsid w:val="00157BDB"/>
    <w:rsid w:val="0016310D"/>
    <w:rsid w:val="001636EF"/>
    <w:rsid w:val="00165F1B"/>
    <w:rsid w:val="001662E1"/>
    <w:rsid w:val="001702E1"/>
    <w:rsid w:val="00173D05"/>
    <w:rsid w:val="001744C1"/>
    <w:rsid w:val="0017549E"/>
    <w:rsid w:val="00176E10"/>
    <w:rsid w:val="00180A35"/>
    <w:rsid w:val="00183DA4"/>
    <w:rsid w:val="00190AE1"/>
    <w:rsid w:val="00192631"/>
    <w:rsid w:val="00193233"/>
    <w:rsid w:val="00194111"/>
    <w:rsid w:val="00194995"/>
    <w:rsid w:val="001960A3"/>
    <w:rsid w:val="001962E7"/>
    <w:rsid w:val="001A058F"/>
    <w:rsid w:val="001A0D97"/>
    <w:rsid w:val="001A3223"/>
    <w:rsid w:val="001A4773"/>
    <w:rsid w:val="001A4E6F"/>
    <w:rsid w:val="001A76C0"/>
    <w:rsid w:val="001B3AB4"/>
    <w:rsid w:val="001B5B7B"/>
    <w:rsid w:val="001B6521"/>
    <w:rsid w:val="001B6CE5"/>
    <w:rsid w:val="001C0BB7"/>
    <w:rsid w:val="001C1D0C"/>
    <w:rsid w:val="001C2F99"/>
    <w:rsid w:val="001C34AB"/>
    <w:rsid w:val="001C4A07"/>
    <w:rsid w:val="001D0AA3"/>
    <w:rsid w:val="001D0DAF"/>
    <w:rsid w:val="001D2301"/>
    <w:rsid w:val="001D4F89"/>
    <w:rsid w:val="001D5263"/>
    <w:rsid w:val="001D580C"/>
    <w:rsid w:val="001D5BC2"/>
    <w:rsid w:val="001D79D6"/>
    <w:rsid w:val="001E15AF"/>
    <w:rsid w:val="001E3D43"/>
    <w:rsid w:val="001E4984"/>
    <w:rsid w:val="001F1C68"/>
    <w:rsid w:val="001F4F4F"/>
    <w:rsid w:val="00200ACB"/>
    <w:rsid w:val="002024C7"/>
    <w:rsid w:val="0020513F"/>
    <w:rsid w:val="0020606A"/>
    <w:rsid w:val="0020687B"/>
    <w:rsid w:val="00210E82"/>
    <w:rsid w:val="00211845"/>
    <w:rsid w:val="002155DF"/>
    <w:rsid w:val="002158A0"/>
    <w:rsid w:val="0021677C"/>
    <w:rsid w:val="002173C6"/>
    <w:rsid w:val="00221DE0"/>
    <w:rsid w:val="002240E9"/>
    <w:rsid w:val="0022452E"/>
    <w:rsid w:val="0022525B"/>
    <w:rsid w:val="002404CF"/>
    <w:rsid w:val="00240CB6"/>
    <w:rsid w:val="00243FD2"/>
    <w:rsid w:val="00244A86"/>
    <w:rsid w:val="00251507"/>
    <w:rsid w:val="002544FA"/>
    <w:rsid w:val="00254AF2"/>
    <w:rsid w:val="0026000B"/>
    <w:rsid w:val="00260D8B"/>
    <w:rsid w:val="00262550"/>
    <w:rsid w:val="00262788"/>
    <w:rsid w:val="002639D4"/>
    <w:rsid w:val="00264EA2"/>
    <w:rsid w:val="00267304"/>
    <w:rsid w:val="002709FF"/>
    <w:rsid w:val="00272C72"/>
    <w:rsid w:val="00273963"/>
    <w:rsid w:val="00274161"/>
    <w:rsid w:val="002766B9"/>
    <w:rsid w:val="002827C1"/>
    <w:rsid w:val="00282E5C"/>
    <w:rsid w:val="00291198"/>
    <w:rsid w:val="00296F89"/>
    <w:rsid w:val="00297312"/>
    <w:rsid w:val="002A0EF4"/>
    <w:rsid w:val="002A1CB6"/>
    <w:rsid w:val="002A70D7"/>
    <w:rsid w:val="002B150E"/>
    <w:rsid w:val="002C158C"/>
    <w:rsid w:val="002C1711"/>
    <w:rsid w:val="002C3A86"/>
    <w:rsid w:val="002C570D"/>
    <w:rsid w:val="002C702D"/>
    <w:rsid w:val="002D398F"/>
    <w:rsid w:val="002D5E8A"/>
    <w:rsid w:val="002E0181"/>
    <w:rsid w:val="002E3B80"/>
    <w:rsid w:val="002F3023"/>
    <w:rsid w:val="002F3BC4"/>
    <w:rsid w:val="00303551"/>
    <w:rsid w:val="00304F5B"/>
    <w:rsid w:val="003114D0"/>
    <w:rsid w:val="00316F43"/>
    <w:rsid w:val="0031759D"/>
    <w:rsid w:val="00320E23"/>
    <w:rsid w:val="00322B0F"/>
    <w:rsid w:val="0032439A"/>
    <w:rsid w:val="00324CBB"/>
    <w:rsid w:val="00325E5F"/>
    <w:rsid w:val="00331426"/>
    <w:rsid w:val="003328A3"/>
    <w:rsid w:val="00335577"/>
    <w:rsid w:val="003401A2"/>
    <w:rsid w:val="00340625"/>
    <w:rsid w:val="00342313"/>
    <w:rsid w:val="00342A14"/>
    <w:rsid w:val="00345C1F"/>
    <w:rsid w:val="00351EDD"/>
    <w:rsid w:val="00352686"/>
    <w:rsid w:val="003548E4"/>
    <w:rsid w:val="00355E6D"/>
    <w:rsid w:val="00357675"/>
    <w:rsid w:val="00360776"/>
    <w:rsid w:val="00363868"/>
    <w:rsid w:val="00367B42"/>
    <w:rsid w:val="003718C0"/>
    <w:rsid w:val="00376D77"/>
    <w:rsid w:val="00380CE5"/>
    <w:rsid w:val="00381C7A"/>
    <w:rsid w:val="0038249B"/>
    <w:rsid w:val="00387352"/>
    <w:rsid w:val="00396E0F"/>
    <w:rsid w:val="00397FA1"/>
    <w:rsid w:val="003A13DB"/>
    <w:rsid w:val="003A7462"/>
    <w:rsid w:val="003B1908"/>
    <w:rsid w:val="003B2FF3"/>
    <w:rsid w:val="003B3DD5"/>
    <w:rsid w:val="003B76A2"/>
    <w:rsid w:val="003B7B3E"/>
    <w:rsid w:val="003C0555"/>
    <w:rsid w:val="003C598A"/>
    <w:rsid w:val="003C5C1B"/>
    <w:rsid w:val="003C6705"/>
    <w:rsid w:val="003C6E2C"/>
    <w:rsid w:val="003D13C6"/>
    <w:rsid w:val="003D30F4"/>
    <w:rsid w:val="003D6987"/>
    <w:rsid w:val="003D7F19"/>
    <w:rsid w:val="003E03A2"/>
    <w:rsid w:val="003E1514"/>
    <w:rsid w:val="003E56E4"/>
    <w:rsid w:val="003E5C60"/>
    <w:rsid w:val="003E6011"/>
    <w:rsid w:val="003F0580"/>
    <w:rsid w:val="003F09A9"/>
    <w:rsid w:val="003F1BE1"/>
    <w:rsid w:val="003F3B26"/>
    <w:rsid w:val="003F52FD"/>
    <w:rsid w:val="00400565"/>
    <w:rsid w:val="00402168"/>
    <w:rsid w:val="00403A71"/>
    <w:rsid w:val="00404415"/>
    <w:rsid w:val="00404874"/>
    <w:rsid w:val="00405A25"/>
    <w:rsid w:val="004061D0"/>
    <w:rsid w:val="00410628"/>
    <w:rsid w:val="00410DFC"/>
    <w:rsid w:val="00410F7A"/>
    <w:rsid w:val="00411397"/>
    <w:rsid w:val="004127A0"/>
    <w:rsid w:val="00417851"/>
    <w:rsid w:val="00422321"/>
    <w:rsid w:val="004257A2"/>
    <w:rsid w:val="00426140"/>
    <w:rsid w:val="00427D44"/>
    <w:rsid w:val="0043105A"/>
    <w:rsid w:val="0043680B"/>
    <w:rsid w:val="00436F3E"/>
    <w:rsid w:val="00446523"/>
    <w:rsid w:val="004470EE"/>
    <w:rsid w:val="00451196"/>
    <w:rsid w:val="0045193E"/>
    <w:rsid w:val="00451DAC"/>
    <w:rsid w:val="00453F20"/>
    <w:rsid w:val="00454979"/>
    <w:rsid w:val="0045786A"/>
    <w:rsid w:val="0046183B"/>
    <w:rsid w:val="004626C6"/>
    <w:rsid w:val="00464E24"/>
    <w:rsid w:val="00466065"/>
    <w:rsid w:val="004713BF"/>
    <w:rsid w:val="00471E19"/>
    <w:rsid w:val="00473FBF"/>
    <w:rsid w:val="00475FB0"/>
    <w:rsid w:val="00481EF6"/>
    <w:rsid w:val="00482AB2"/>
    <w:rsid w:val="00483F03"/>
    <w:rsid w:val="00485126"/>
    <w:rsid w:val="00485D11"/>
    <w:rsid w:val="00490438"/>
    <w:rsid w:val="00491DEC"/>
    <w:rsid w:val="004938F5"/>
    <w:rsid w:val="00494BC6"/>
    <w:rsid w:val="004951D9"/>
    <w:rsid w:val="00496B74"/>
    <w:rsid w:val="00497312"/>
    <w:rsid w:val="004A028F"/>
    <w:rsid w:val="004A0CDB"/>
    <w:rsid w:val="004A70FE"/>
    <w:rsid w:val="004B2AD7"/>
    <w:rsid w:val="004B3CA2"/>
    <w:rsid w:val="004B3D64"/>
    <w:rsid w:val="004B3FF9"/>
    <w:rsid w:val="004B5F00"/>
    <w:rsid w:val="004B7694"/>
    <w:rsid w:val="004B7B0B"/>
    <w:rsid w:val="004C0353"/>
    <w:rsid w:val="004C04CB"/>
    <w:rsid w:val="004C0F68"/>
    <w:rsid w:val="004C0FD6"/>
    <w:rsid w:val="004C2A39"/>
    <w:rsid w:val="004C4C89"/>
    <w:rsid w:val="004C5DC9"/>
    <w:rsid w:val="004C6AA1"/>
    <w:rsid w:val="004C703E"/>
    <w:rsid w:val="004D1229"/>
    <w:rsid w:val="004D37B3"/>
    <w:rsid w:val="004D39CC"/>
    <w:rsid w:val="004D5B14"/>
    <w:rsid w:val="004E15E8"/>
    <w:rsid w:val="004E3F2E"/>
    <w:rsid w:val="004E4096"/>
    <w:rsid w:val="004E668C"/>
    <w:rsid w:val="004E6ED2"/>
    <w:rsid w:val="004F0B68"/>
    <w:rsid w:val="004F181A"/>
    <w:rsid w:val="004F2BCE"/>
    <w:rsid w:val="004F2DB8"/>
    <w:rsid w:val="004F40A3"/>
    <w:rsid w:val="005023C7"/>
    <w:rsid w:val="00502D76"/>
    <w:rsid w:val="00503B38"/>
    <w:rsid w:val="00507CF2"/>
    <w:rsid w:val="005103DF"/>
    <w:rsid w:val="00511CC9"/>
    <w:rsid w:val="005128BE"/>
    <w:rsid w:val="005128D3"/>
    <w:rsid w:val="00513AAB"/>
    <w:rsid w:val="00513ECA"/>
    <w:rsid w:val="0051604C"/>
    <w:rsid w:val="00517EEB"/>
    <w:rsid w:val="00525AEF"/>
    <w:rsid w:val="00531ABB"/>
    <w:rsid w:val="0053428A"/>
    <w:rsid w:val="005374A1"/>
    <w:rsid w:val="0054214F"/>
    <w:rsid w:val="00542A87"/>
    <w:rsid w:val="00544114"/>
    <w:rsid w:val="00547272"/>
    <w:rsid w:val="00550531"/>
    <w:rsid w:val="005524E9"/>
    <w:rsid w:val="00554057"/>
    <w:rsid w:val="00554C79"/>
    <w:rsid w:val="00557547"/>
    <w:rsid w:val="00564794"/>
    <w:rsid w:val="00564D92"/>
    <w:rsid w:val="00571792"/>
    <w:rsid w:val="005730D2"/>
    <w:rsid w:val="00573A0C"/>
    <w:rsid w:val="005748EB"/>
    <w:rsid w:val="00577375"/>
    <w:rsid w:val="00577C00"/>
    <w:rsid w:val="005806B8"/>
    <w:rsid w:val="00582CD2"/>
    <w:rsid w:val="005839D9"/>
    <w:rsid w:val="00586A66"/>
    <w:rsid w:val="00587134"/>
    <w:rsid w:val="00587496"/>
    <w:rsid w:val="005924AA"/>
    <w:rsid w:val="00594BC4"/>
    <w:rsid w:val="00595823"/>
    <w:rsid w:val="005964B2"/>
    <w:rsid w:val="005A1524"/>
    <w:rsid w:val="005A36CC"/>
    <w:rsid w:val="005A3E12"/>
    <w:rsid w:val="005A79EC"/>
    <w:rsid w:val="005A7C0A"/>
    <w:rsid w:val="005B30C0"/>
    <w:rsid w:val="005B3261"/>
    <w:rsid w:val="005B3442"/>
    <w:rsid w:val="005B60A3"/>
    <w:rsid w:val="005B72E4"/>
    <w:rsid w:val="005C13E1"/>
    <w:rsid w:val="005C35C4"/>
    <w:rsid w:val="005C67FF"/>
    <w:rsid w:val="005D1CB8"/>
    <w:rsid w:val="005D375C"/>
    <w:rsid w:val="005D4028"/>
    <w:rsid w:val="005D4569"/>
    <w:rsid w:val="005E13D7"/>
    <w:rsid w:val="005E2DE4"/>
    <w:rsid w:val="005E406A"/>
    <w:rsid w:val="005F5066"/>
    <w:rsid w:val="005F636F"/>
    <w:rsid w:val="005F6FDC"/>
    <w:rsid w:val="00600482"/>
    <w:rsid w:val="00602828"/>
    <w:rsid w:val="00602EAC"/>
    <w:rsid w:val="00605919"/>
    <w:rsid w:val="00606B87"/>
    <w:rsid w:val="00607698"/>
    <w:rsid w:val="00610246"/>
    <w:rsid w:val="00611333"/>
    <w:rsid w:val="006124A6"/>
    <w:rsid w:val="00614497"/>
    <w:rsid w:val="00616FED"/>
    <w:rsid w:val="00621020"/>
    <w:rsid w:val="00621DA4"/>
    <w:rsid w:val="00630BA1"/>
    <w:rsid w:val="00631257"/>
    <w:rsid w:val="0063159E"/>
    <w:rsid w:val="00633132"/>
    <w:rsid w:val="00637835"/>
    <w:rsid w:val="006453A2"/>
    <w:rsid w:val="00646B3F"/>
    <w:rsid w:val="00647160"/>
    <w:rsid w:val="006527E9"/>
    <w:rsid w:val="006533D5"/>
    <w:rsid w:val="00657D2C"/>
    <w:rsid w:val="00660B2D"/>
    <w:rsid w:val="006619C6"/>
    <w:rsid w:val="00662ACF"/>
    <w:rsid w:val="00665F36"/>
    <w:rsid w:val="006660D9"/>
    <w:rsid w:val="00666514"/>
    <w:rsid w:val="00673B17"/>
    <w:rsid w:val="0068048C"/>
    <w:rsid w:val="00680AC1"/>
    <w:rsid w:val="00681889"/>
    <w:rsid w:val="006845A7"/>
    <w:rsid w:val="0068660C"/>
    <w:rsid w:val="00687E42"/>
    <w:rsid w:val="00692EE7"/>
    <w:rsid w:val="0069417A"/>
    <w:rsid w:val="00694F4B"/>
    <w:rsid w:val="00696AD3"/>
    <w:rsid w:val="00697099"/>
    <w:rsid w:val="00697119"/>
    <w:rsid w:val="00697D3D"/>
    <w:rsid w:val="006A4DB4"/>
    <w:rsid w:val="006A4F43"/>
    <w:rsid w:val="006A7330"/>
    <w:rsid w:val="006B0A2A"/>
    <w:rsid w:val="006B12B1"/>
    <w:rsid w:val="006B38A5"/>
    <w:rsid w:val="006B7076"/>
    <w:rsid w:val="006C2A59"/>
    <w:rsid w:val="006C706A"/>
    <w:rsid w:val="006D3557"/>
    <w:rsid w:val="006D49BE"/>
    <w:rsid w:val="006D729D"/>
    <w:rsid w:val="006E39C0"/>
    <w:rsid w:val="006E560C"/>
    <w:rsid w:val="006E5F9D"/>
    <w:rsid w:val="006E6579"/>
    <w:rsid w:val="006E6AFE"/>
    <w:rsid w:val="006E770F"/>
    <w:rsid w:val="006F0594"/>
    <w:rsid w:val="006F3877"/>
    <w:rsid w:val="006F39F1"/>
    <w:rsid w:val="006F764F"/>
    <w:rsid w:val="007010DC"/>
    <w:rsid w:val="007033B1"/>
    <w:rsid w:val="00705E7A"/>
    <w:rsid w:val="00707E2F"/>
    <w:rsid w:val="00712658"/>
    <w:rsid w:val="00714FA8"/>
    <w:rsid w:val="00717B20"/>
    <w:rsid w:val="00723CDC"/>
    <w:rsid w:val="007254E7"/>
    <w:rsid w:val="007261AC"/>
    <w:rsid w:val="00726691"/>
    <w:rsid w:val="00727C5B"/>
    <w:rsid w:val="00730917"/>
    <w:rsid w:val="00731710"/>
    <w:rsid w:val="00731C12"/>
    <w:rsid w:val="007332A7"/>
    <w:rsid w:val="00733EBA"/>
    <w:rsid w:val="00740D58"/>
    <w:rsid w:val="0074183C"/>
    <w:rsid w:val="00743F4B"/>
    <w:rsid w:val="00744D45"/>
    <w:rsid w:val="00745160"/>
    <w:rsid w:val="00745956"/>
    <w:rsid w:val="0074718E"/>
    <w:rsid w:val="0074775C"/>
    <w:rsid w:val="00747AFA"/>
    <w:rsid w:val="00753E21"/>
    <w:rsid w:val="00760C07"/>
    <w:rsid w:val="00761766"/>
    <w:rsid w:val="0076176A"/>
    <w:rsid w:val="00762D51"/>
    <w:rsid w:val="0076396F"/>
    <w:rsid w:val="007644BD"/>
    <w:rsid w:val="00767900"/>
    <w:rsid w:val="00767F94"/>
    <w:rsid w:val="007704C8"/>
    <w:rsid w:val="0077167E"/>
    <w:rsid w:val="0077417B"/>
    <w:rsid w:val="00776E21"/>
    <w:rsid w:val="00782201"/>
    <w:rsid w:val="00783323"/>
    <w:rsid w:val="00785D9C"/>
    <w:rsid w:val="007863DF"/>
    <w:rsid w:val="00787C09"/>
    <w:rsid w:val="007928EB"/>
    <w:rsid w:val="00795327"/>
    <w:rsid w:val="007979BF"/>
    <w:rsid w:val="007A05A8"/>
    <w:rsid w:val="007A2A51"/>
    <w:rsid w:val="007A2E13"/>
    <w:rsid w:val="007A5CDF"/>
    <w:rsid w:val="007A643C"/>
    <w:rsid w:val="007A7178"/>
    <w:rsid w:val="007B0ABA"/>
    <w:rsid w:val="007B3938"/>
    <w:rsid w:val="007C09FF"/>
    <w:rsid w:val="007C0F53"/>
    <w:rsid w:val="007C5DEF"/>
    <w:rsid w:val="007D7ACF"/>
    <w:rsid w:val="007E0178"/>
    <w:rsid w:val="007E03EA"/>
    <w:rsid w:val="007E16EE"/>
    <w:rsid w:val="007E4D6B"/>
    <w:rsid w:val="007F66C8"/>
    <w:rsid w:val="0080021F"/>
    <w:rsid w:val="00804116"/>
    <w:rsid w:val="00804363"/>
    <w:rsid w:val="00806325"/>
    <w:rsid w:val="008121AF"/>
    <w:rsid w:val="008121C3"/>
    <w:rsid w:val="00812372"/>
    <w:rsid w:val="0081271B"/>
    <w:rsid w:val="00822348"/>
    <w:rsid w:val="00822F24"/>
    <w:rsid w:val="00822F50"/>
    <w:rsid w:val="00823026"/>
    <w:rsid w:val="00831C19"/>
    <w:rsid w:val="00835B41"/>
    <w:rsid w:val="00836141"/>
    <w:rsid w:val="00837B89"/>
    <w:rsid w:val="00842994"/>
    <w:rsid w:val="00843F43"/>
    <w:rsid w:val="00845158"/>
    <w:rsid w:val="008500C0"/>
    <w:rsid w:val="00850AC8"/>
    <w:rsid w:val="00855B15"/>
    <w:rsid w:val="00857F5D"/>
    <w:rsid w:val="008650E1"/>
    <w:rsid w:val="008711B9"/>
    <w:rsid w:val="0087156A"/>
    <w:rsid w:val="008719CE"/>
    <w:rsid w:val="008722BB"/>
    <w:rsid w:val="00876146"/>
    <w:rsid w:val="00876E48"/>
    <w:rsid w:val="00883261"/>
    <w:rsid w:val="008841C6"/>
    <w:rsid w:val="008841FA"/>
    <w:rsid w:val="008854E5"/>
    <w:rsid w:val="00885B59"/>
    <w:rsid w:val="00886900"/>
    <w:rsid w:val="00886BB2"/>
    <w:rsid w:val="008909BF"/>
    <w:rsid w:val="008919D1"/>
    <w:rsid w:val="00894269"/>
    <w:rsid w:val="00895F50"/>
    <w:rsid w:val="008A2970"/>
    <w:rsid w:val="008A39AA"/>
    <w:rsid w:val="008A6C2B"/>
    <w:rsid w:val="008B11E2"/>
    <w:rsid w:val="008B1DD1"/>
    <w:rsid w:val="008B3413"/>
    <w:rsid w:val="008B578C"/>
    <w:rsid w:val="008C2164"/>
    <w:rsid w:val="008C30D7"/>
    <w:rsid w:val="008C4542"/>
    <w:rsid w:val="008C5333"/>
    <w:rsid w:val="008D32EB"/>
    <w:rsid w:val="008D55D2"/>
    <w:rsid w:val="008E0957"/>
    <w:rsid w:val="008E1AF6"/>
    <w:rsid w:val="008E7C5E"/>
    <w:rsid w:val="008F2111"/>
    <w:rsid w:val="008F25C4"/>
    <w:rsid w:val="008F2DD1"/>
    <w:rsid w:val="0090185F"/>
    <w:rsid w:val="00903334"/>
    <w:rsid w:val="00904818"/>
    <w:rsid w:val="009065F8"/>
    <w:rsid w:val="00906908"/>
    <w:rsid w:val="00907A1E"/>
    <w:rsid w:val="00911FC4"/>
    <w:rsid w:val="009155A2"/>
    <w:rsid w:val="00920E97"/>
    <w:rsid w:val="00924174"/>
    <w:rsid w:val="00926453"/>
    <w:rsid w:val="009322F5"/>
    <w:rsid w:val="00932AEC"/>
    <w:rsid w:val="00937AF0"/>
    <w:rsid w:val="00937B53"/>
    <w:rsid w:val="00940F13"/>
    <w:rsid w:val="00942920"/>
    <w:rsid w:val="00943348"/>
    <w:rsid w:val="009433EC"/>
    <w:rsid w:val="00945084"/>
    <w:rsid w:val="009466AD"/>
    <w:rsid w:val="00950302"/>
    <w:rsid w:val="00951112"/>
    <w:rsid w:val="0095593B"/>
    <w:rsid w:val="00956572"/>
    <w:rsid w:val="00957CE7"/>
    <w:rsid w:val="009628DA"/>
    <w:rsid w:val="0096598E"/>
    <w:rsid w:val="0096627F"/>
    <w:rsid w:val="009674BD"/>
    <w:rsid w:val="00970A75"/>
    <w:rsid w:val="0097143C"/>
    <w:rsid w:val="00975564"/>
    <w:rsid w:val="0098199F"/>
    <w:rsid w:val="0098667B"/>
    <w:rsid w:val="00987440"/>
    <w:rsid w:val="009900DE"/>
    <w:rsid w:val="0099169F"/>
    <w:rsid w:val="00992D19"/>
    <w:rsid w:val="0099492E"/>
    <w:rsid w:val="009955E1"/>
    <w:rsid w:val="00996194"/>
    <w:rsid w:val="009A52FE"/>
    <w:rsid w:val="009A5CD8"/>
    <w:rsid w:val="009B0B7C"/>
    <w:rsid w:val="009B7F99"/>
    <w:rsid w:val="009C007A"/>
    <w:rsid w:val="009C0D64"/>
    <w:rsid w:val="009C3C80"/>
    <w:rsid w:val="009C3ECE"/>
    <w:rsid w:val="009C4AC5"/>
    <w:rsid w:val="009D0234"/>
    <w:rsid w:val="009D6965"/>
    <w:rsid w:val="009E10EC"/>
    <w:rsid w:val="009E1277"/>
    <w:rsid w:val="009E1934"/>
    <w:rsid w:val="009E24C9"/>
    <w:rsid w:val="009E2C5B"/>
    <w:rsid w:val="009E72D2"/>
    <w:rsid w:val="009F0AFB"/>
    <w:rsid w:val="009F5963"/>
    <w:rsid w:val="009F70A2"/>
    <w:rsid w:val="00A0044F"/>
    <w:rsid w:val="00A0307C"/>
    <w:rsid w:val="00A039F5"/>
    <w:rsid w:val="00A05AF5"/>
    <w:rsid w:val="00A10E11"/>
    <w:rsid w:val="00A11920"/>
    <w:rsid w:val="00A21393"/>
    <w:rsid w:val="00A26312"/>
    <w:rsid w:val="00A26FF1"/>
    <w:rsid w:val="00A27B3E"/>
    <w:rsid w:val="00A30A0D"/>
    <w:rsid w:val="00A30A26"/>
    <w:rsid w:val="00A30D1B"/>
    <w:rsid w:val="00A30E3E"/>
    <w:rsid w:val="00A33197"/>
    <w:rsid w:val="00A331DC"/>
    <w:rsid w:val="00A33C34"/>
    <w:rsid w:val="00A3461E"/>
    <w:rsid w:val="00A34D9E"/>
    <w:rsid w:val="00A37C29"/>
    <w:rsid w:val="00A44808"/>
    <w:rsid w:val="00A46D49"/>
    <w:rsid w:val="00A5012C"/>
    <w:rsid w:val="00A527FC"/>
    <w:rsid w:val="00A52892"/>
    <w:rsid w:val="00A544DC"/>
    <w:rsid w:val="00A549D0"/>
    <w:rsid w:val="00A561CD"/>
    <w:rsid w:val="00A575C2"/>
    <w:rsid w:val="00A602A0"/>
    <w:rsid w:val="00A6153D"/>
    <w:rsid w:val="00A64995"/>
    <w:rsid w:val="00A67D2C"/>
    <w:rsid w:val="00A72871"/>
    <w:rsid w:val="00A73635"/>
    <w:rsid w:val="00A74272"/>
    <w:rsid w:val="00A82A3E"/>
    <w:rsid w:val="00A86370"/>
    <w:rsid w:val="00A875C4"/>
    <w:rsid w:val="00A91CA4"/>
    <w:rsid w:val="00A926B4"/>
    <w:rsid w:val="00A942B2"/>
    <w:rsid w:val="00A94953"/>
    <w:rsid w:val="00A96762"/>
    <w:rsid w:val="00A96DEF"/>
    <w:rsid w:val="00AA0195"/>
    <w:rsid w:val="00AA4EF1"/>
    <w:rsid w:val="00AA55C2"/>
    <w:rsid w:val="00AA6000"/>
    <w:rsid w:val="00AA6CBF"/>
    <w:rsid w:val="00AB5C5C"/>
    <w:rsid w:val="00AC2D21"/>
    <w:rsid w:val="00AC4FC8"/>
    <w:rsid w:val="00AC5453"/>
    <w:rsid w:val="00AC7AAE"/>
    <w:rsid w:val="00AD01E9"/>
    <w:rsid w:val="00AD6C84"/>
    <w:rsid w:val="00AE0894"/>
    <w:rsid w:val="00AE0B39"/>
    <w:rsid w:val="00AE0BF8"/>
    <w:rsid w:val="00AE1130"/>
    <w:rsid w:val="00AE3A95"/>
    <w:rsid w:val="00AE3D38"/>
    <w:rsid w:val="00AE637F"/>
    <w:rsid w:val="00AE7B08"/>
    <w:rsid w:val="00AF35DF"/>
    <w:rsid w:val="00AF6422"/>
    <w:rsid w:val="00AF661E"/>
    <w:rsid w:val="00AF6BB1"/>
    <w:rsid w:val="00AF7120"/>
    <w:rsid w:val="00B002A5"/>
    <w:rsid w:val="00B00CDB"/>
    <w:rsid w:val="00B02738"/>
    <w:rsid w:val="00B0548B"/>
    <w:rsid w:val="00B057F7"/>
    <w:rsid w:val="00B12D58"/>
    <w:rsid w:val="00B1581D"/>
    <w:rsid w:val="00B15943"/>
    <w:rsid w:val="00B21801"/>
    <w:rsid w:val="00B21B9C"/>
    <w:rsid w:val="00B23662"/>
    <w:rsid w:val="00B27107"/>
    <w:rsid w:val="00B273BA"/>
    <w:rsid w:val="00B37ED8"/>
    <w:rsid w:val="00B4162A"/>
    <w:rsid w:val="00B41EB4"/>
    <w:rsid w:val="00B44705"/>
    <w:rsid w:val="00B44BCC"/>
    <w:rsid w:val="00B45296"/>
    <w:rsid w:val="00B47C7F"/>
    <w:rsid w:val="00B52F1B"/>
    <w:rsid w:val="00B54295"/>
    <w:rsid w:val="00B552FA"/>
    <w:rsid w:val="00B55E22"/>
    <w:rsid w:val="00B64BF5"/>
    <w:rsid w:val="00B673A6"/>
    <w:rsid w:val="00B706A9"/>
    <w:rsid w:val="00B72FF9"/>
    <w:rsid w:val="00B74542"/>
    <w:rsid w:val="00B80C12"/>
    <w:rsid w:val="00B81DE0"/>
    <w:rsid w:val="00B824CE"/>
    <w:rsid w:val="00B843C0"/>
    <w:rsid w:val="00B876E6"/>
    <w:rsid w:val="00B87B03"/>
    <w:rsid w:val="00B918B0"/>
    <w:rsid w:val="00B91AEB"/>
    <w:rsid w:val="00B92E75"/>
    <w:rsid w:val="00B93B66"/>
    <w:rsid w:val="00B961EC"/>
    <w:rsid w:val="00B9715C"/>
    <w:rsid w:val="00BA09B8"/>
    <w:rsid w:val="00BB2E75"/>
    <w:rsid w:val="00BB4C73"/>
    <w:rsid w:val="00BB5FD0"/>
    <w:rsid w:val="00BB71AB"/>
    <w:rsid w:val="00BC046F"/>
    <w:rsid w:val="00BC6162"/>
    <w:rsid w:val="00BC72B6"/>
    <w:rsid w:val="00BC74D9"/>
    <w:rsid w:val="00BD00C4"/>
    <w:rsid w:val="00BD0528"/>
    <w:rsid w:val="00BD0F79"/>
    <w:rsid w:val="00BD343B"/>
    <w:rsid w:val="00BD378C"/>
    <w:rsid w:val="00BE0471"/>
    <w:rsid w:val="00BE2ED8"/>
    <w:rsid w:val="00BE76F0"/>
    <w:rsid w:val="00BF1733"/>
    <w:rsid w:val="00BF1B1A"/>
    <w:rsid w:val="00BF2FE8"/>
    <w:rsid w:val="00C0144C"/>
    <w:rsid w:val="00C07B85"/>
    <w:rsid w:val="00C154B3"/>
    <w:rsid w:val="00C16FF1"/>
    <w:rsid w:val="00C22497"/>
    <w:rsid w:val="00C22C1E"/>
    <w:rsid w:val="00C23BEE"/>
    <w:rsid w:val="00C24602"/>
    <w:rsid w:val="00C310C8"/>
    <w:rsid w:val="00C312FA"/>
    <w:rsid w:val="00C32B2A"/>
    <w:rsid w:val="00C33D10"/>
    <w:rsid w:val="00C33D89"/>
    <w:rsid w:val="00C364DE"/>
    <w:rsid w:val="00C40E67"/>
    <w:rsid w:val="00C440B5"/>
    <w:rsid w:val="00C44174"/>
    <w:rsid w:val="00C45678"/>
    <w:rsid w:val="00C45A98"/>
    <w:rsid w:val="00C469C6"/>
    <w:rsid w:val="00C47F9F"/>
    <w:rsid w:val="00C5045B"/>
    <w:rsid w:val="00C528BE"/>
    <w:rsid w:val="00C54884"/>
    <w:rsid w:val="00C54B80"/>
    <w:rsid w:val="00C55E99"/>
    <w:rsid w:val="00C56DD5"/>
    <w:rsid w:val="00C610CB"/>
    <w:rsid w:val="00C61AFA"/>
    <w:rsid w:val="00C626D2"/>
    <w:rsid w:val="00C63B16"/>
    <w:rsid w:val="00C70AEB"/>
    <w:rsid w:val="00C745D4"/>
    <w:rsid w:val="00C80E34"/>
    <w:rsid w:val="00C81809"/>
    <w:rsid w:val="00C8216A"/>
    <w:rsid w:val="00C822EF"/>
    <w:rsid w:val="00C82DAC"/>
    <w:rsid w:val="00C83312"/>
    <w:rsid w:val="00C85287"/>
    <w:rsid w:val="00C85BDC"/>
    <w:rsid w:val="00C87DD9"/>
    <w:rsid w:val="00C935CB"/>
    <w:rsid w:val="00C951A3"/>
    <w:rsid w:val="00C9667A"/>
    <w:rsid w:val="00C977BE"/>
    <w:rsid w:val="00CA1AF7"/>
    <w:rsid w:val="00CA60C8"/>
    <w:rsid w:val="00CA691F"/>
    <w:rsid w:val="00CA7A26"/>
    <w:rsid w:val="00CB16A5"/>
    <w:rsid w:val="00CB1F43"/>
    <w:rsid w:val="00CB3895"/>
    <w:rsid w:val="00CB4474"/>
    <w:rsid w:val="00CB4D12"/>
    <w:rsid w:val="00CB7C02"/>
    <w:rsid w:val="00CC2573"/>
    <w:rsid w:val="00CC61AD"/>
    <w:rsid w:val="00CD1F6C"/>
    <w:rsid w:val="00CD2184"/>
    <w:rsid w:val="00CD35DD"/>
    <w:rsid w:val="00CE1555"/>
    <w:rsid w:val="00CE1907"/>
    <w:rsid w:val="00CE3C9B"/>
    <w:rsid w:val="00CE57E9"/>
    <w:rsid w:val="00CE6220"/>
    <w:rsid w:val="00CF0A81"/>
    <w:rsid w:val="00CF1EB2"/>
    <w:rsid w:val="00CF2CAA"/>
    <w:rsid w:val="00CF529F"/>
    <w:rsid w:val="00CF7710"/>
    <w:rsid w:val="00D0297C"/>
    <w:rsid w:val="00D0363E"/>
    <w:rsid w:val="00D03719"/>
    <w:rsid w:val="00D059B8"/>
    <w:rsid w:val="00D121B8"/>
    <w:rsid w:val="00D127C0"/>
    <w:rsid w:val="00D12F20"/>
    <w:rsid w:val="00D16EEA"/>
    <w:rsid w:val="00D21C4C"/>
    <w:rsid w:val="00D220AF"/>
    <w:rsid w:val="00D232E4"/>
    <w:rsid w:val="00D24A5B"/>
    <w:rsid w:val="00D25502"/>
    <w:rsid w:val="00D26394"/>
    <w:rsid w:val="00D27B40"/>
    <w:rsid w:val="00D3332C"/>
    <w:rsid w:val="00D35326"/>
    <w:rsid w:val="00D37F50"/>
    <w:rsid w:val="00D465D7"/>
    <w:rsid w:val="00D52303"/>
    <w:rsid w:val="00D5243B"/>
    <w:rsid w:val="00D52C0F"/>
    <w:rsid w:val="00D52FF0"/>
    <w:rsid w:val="00D53574"/>
    <w:rsid w:val="00D53653"/>
    <w:rsid w:val="00D54089"/>
    <w:rsid w:val="00D55F3F"/>
    <w:rsid w:val="00D630A6"/>
    <w:rsid w:val="00D637A9"/>
    <w:rsid w:val="00D640F9"/>
    <w:rsid w:val="00D71B62"/>
    <w:rsid w:val="00D8135D"/>
    <w:rsid w:val="00D86077"/>
    <w:rsid w:val="00D8781F"/>
    <w:rsid w:val="00D90ED9"/>
    <w:rsid w:val="00D96514"/>
    <w:rsid w:val="00D966C0"/>
    <w:rsid w:val="00D969F0"/>
    <w:rsid w:val="00D96A6B"/>
    <w:rsid w:val="00DA2813"/>
    <w:rsid w:val="00DA3FA4"/>
    <w:rsid w:val="00DA41F1"/>
    <w:rsid w:val="00DB1DD6"/>
    <w:rsid w:val="00DB210D"/>
    <w:rsid w:val="00DB4D0F"/>
    <w:rsid w:val="00DB5DE3"/>
    <w:rsid w:val="00DB624D"/>
    <w:rsid w:val="00DC1ECA"/>
    <w:rsid w:val="00DC37F6"/>
    <w:rsid w:val="00DC6CD7"/>
    <w:rsid w:val="00DC735D"/>
    <w:rsid w:val="00DD0321"/>
    <w:rsid w:val="00DD22CE"/>
    <w:rsid w:val="00DD392B"/>
    <w:rsid w:val="00DD4625"/>
    <w:rsid w:val="00DD63C2"/>
    <w:rsid w:val="00DE3B13"/>
    <w:rsid w:val="00DE43A4"/>
    <w:rsid w:val="00DE6762"/>
    <w:rsid w:val="00DF0BC0"/>
    <w:rsid w:val="00DF20EC"/>
    <w:rsid w:val="00DF39A7"/>
    <w:rsid w:val="00E0277B"/>
    <w:rsid w:val="00E02A20"/>
    <w:rsid w:val="00E0304D"/>
    <w:rsid w:val="00E031C7"/>
    <w:rsid w:val="00E042DE"/>
    <w:rsid w:val="00E0785A"/>
    <w:rsid w:val="00E100F4"/>
    <w:rsid w:val="00E129EF"/>
    <w:rsid w:val="00E13846"/>
    <w:rsid w:val="00E142C5"/>
    <w:rsid w:val="00E15108"/>
    <w:rsid w:val="00E1599E"/>
    <w:rsid w:val="00E1680D"/>
    <w:rsid w:val="00E20C1B"/>
    <w:rsid w:val="00E25A35"/>
    <w:rsid w:val="00E27008"/>
    <w:rsid w:val="00E341A6"/>
    <w:rsid w:val="00E345E4"/>
    <w:rsid w:val="00E36873"/>
    <w:rsid w:val="00E42A37"/>
    <w:rsid w:val="00E45047"/>
    <w:rsid w:val="00E5135C"/>
    <w:rsid w:val="00E516C9"/>
    <w:rsid w:val="00E63B75"/>
    <w:rsid w:val="00E70AA2"/>
    <w:rsid w:val="00E710CB"/>
    <w:rsid w:val="00E7550C"/>
    <w:rsid w:val="00E75CCF"/>
    <w:rsid w:val="00E808D5"/>
    <w:rsid w:val="00E8107A"/>
    <w:rsid w:val="00E815E7"/>
    <w:rsid w:val="00E83766"/>
    <w:rsid w:val="00E841AF"/>
    <w:rsid w:val="00E96631"/>
    <w:rsid w:val="00EA4068"/>
    <w:rsid w:val="00EA4934"/>
    <w:rsid w:val="00EB159C"/>
    <w:rsid w:val="00EB239A"/>
    <w:rsid w:val="00EB3D0A"/>
    <w:rsid w:val="00EB5226"/>
    <w:rsid w:val="00EB620C"/>
    <w:rsid w:val="00EB67CE"/>
    <w:rsid w:val="00EC157C"/>
    <w:rsid w:val="00EC4C4B"/>
    <w:rsid w:val="00EC4FBB"/>
    <w:rsid w:val="00EC5B2F"/>
    <w:rsid w:val="00EC7926"/>
    <w:rsid w:val="00ED1723"/>
    <w:rsid w:val="00ED4CC5"/>
    <w:rsid w:val="00ED7C7F"/>
    <w:rsid w:val="00EE2373"/>
    <w:rsid w:val="00EE2957"/>
    <w:rsid w:val="00EE715C"/>
    <w:rsid w:val="00EE7C8B"/>
    <w:rsid w:val="00EF1B80"/>
    <w:rsid w:val="00EF3742"/>
    <w:rsid w:val="00EF6783"/>
    <w:rsid w:val="00F020C4"/>
    <w:rsid w:val="00F045E8"/>
    <w:rsid w:val="00F0513C"/>
    <w:rsid w:val="00F06446"/>
    <w:rsid w:val="00F07C2A"/>
    <w:rsid w:val="00F12C39"/>
    <w:rsid w:val="00F21275"/>
    <w:rsid w:val="00F21991"/>
    <w:rsid w:val="00F22B75"/>
    <w:rsid w:val="00F30300"/>
    <w:rsid w:val="00F32904"/>
    <w:rsid w:val="00F36061"/>
    <w:rsid w:val="00F37C7F"/>
    <w:rsid w:val="00F40E22"/>
    <w:rsid w:val="00F44D3C"/>
    <w:rsid w:val="00F45684"/>
    <w:rsid w:val="00F4779F"/>
    <w:rsid w:val="00F50E47"/>
    <w:rsid w:val="00F52AC1"/>
    <w:rsid w:val="00F53D07"/>
    <w:rsid w:val="00F555A3"/>
    <w:rsid w:val="00F56A88"/>
    <w:rsid w:val="00F57166"/>
    <w:rsid w:val="00F57B42"/>
    <w:rsid w:val="00F604C8"/>
    <w:rsid w:val="00F61BC1"/>
    <w:rsid w:val="00F61FAA"/>
    <w:rsid w:val="00F63746"/>
    <w:rsid w:val="00F64CA8"/>
    <w:rsid w:val="00F64D86"/>
    <w:rsid w:val="00F71663"/>
    <w:rsid w:val="00F72009"/>
    <w:rsid w:val="00F74B23"/>
    <w:rsid w:val="00F77843"/>
    <w:rsid w:val="00F861D6"/>
    <w:rsid w:val="00F9057B"/>
    <w:rsid w:val="00F92B68"/>
    <w:rsid w:val="00F92BD7"/>
    <w:rsid w:val="00F96105"/>
    <w:rsid w:val="00FA0828"/>
    <w:rsid w:val="00FA0A2A"/>
    <w:rsid w:val="00FA0FD2"/>
    <w:rsid w:val="00FA4284"/>
    <w:rsid w:val="00FA4EEB"/>
    <w:rsid w:val="00FA5546"/>
    <w:rsid w:val="00FA6E42"/>
    <w:rsid w:val="00FB150E"/>
    <w:rsid w:val="00FB221E"/>
    <w:rsid w:val="00FB54D7"/>
    <w:rsid w:val="00FB56D2"/>
    <w:rsid w:val="00FC1D54"/>
    <w:rsid w:val="00FC2C4C"/>
    <w:rsid w:val="00FC60AD"/>
    <w:rsid w:val="00FD024E"/>
    <w:rsid w:val="00FD0428"/>
    <w:rsid w:val="00FD2A7F"/>
    <w:rsid w:val="00FD36B2"/>
    <w:rsid w:val="00FD467A"/>
    <w:rsid w:val="00FD60BD"/>
    <w:rsid w:val="01E72066"/>
    <w:rsid w:val="026A9F61"/>
    <w:rsid w:val="03524BFA"/>
    <w:rsid w:val="070F087D"/>
    <w:rsid w:val="0891A27D"/>
    <w:rsid w:val="09354977"/>
    <w:rsid w:val="0C013FC6"/>
    <w:rsid w:val="0EF45148"/>
    <w:rsid w:val="0F2C377A"/>
    <w:rsid w:val="10FA989A"/>
    <w:rsid w:val="11957987"/>
    <w:rsid w:val="12BB68D4"/>
    <w:rsid w:val="13742EA8"/>
    <w:rsid w:val="14484D76"/>
    <w:rsid w:val="15ECF020"/>
    <w:rsid w:val="167D5388"/>
    <w:rsid w:val="19DD5309"/>
    <w:rsid w:val="1F20A198"/>
    <w:rsid w:val="21441FC0"/>
    <w:rsid w:val="215D1975"/>
    <w:rsid w:val="229C5549"/>
    <w:rsid w:val="24921127"/>
    <w:rsid w:val="2684B863"/>
    <w:rsid w:val="27096322"/>
    <w:rsid w:val="2716C503"/>
    <w:rsid w:val="28043E05"/>
    <w:rsid w:val="28989AE3"/>
    <w:rsid w:val="28D34CF4"/>
    <w:rsid w:val="29A6CF7E"/>
    <w:rsid w:val="2AAEB23F"/>
    <w:rsid w:val="2BC87B59"/>
    <w:rsid w:val="2C9CD734"/>
    <w:rsid w:val="2E5ADBB7"/>
    <w:rsid w:val="2EDF002F"/>
    <w:rsid w:val="2F8F9B09"/>
    <w:rsid w:val="30B6EF76"/>
    <w:rsid w:val="33B5866C"/>
    <w:rsid w:val="369D2637"/>
    <w:rsid w:val="3A0DCFF9"/>
    <w:rsid w:val="3A77D23A"/>
    <w:rsid w:val="3BA02283"/>
    <w:rsid w:val="3BC16932"/>
    <w:rsid w:val="3C52A1B4"/>
    <w:rsid w:val="3CBDF62A"/>
    <w:rsid w:val="3DA91FC4"/>
    <w:rsid w:val="3E38A974"/>
    <w:rsid w:val="404EC540"/>
    <w:rsid w:val="41DF0318"/>
    <w:rsid w:val="4301A753"/>
    <w:rsid w:val="449A8DDD"/>
    <w:rsid w:val="48553FAC"/>
    <w:rsid w:val="4922B9F2"/>
    <w:rsid w:val="4B855563"/>
    <w:rsid w:val="4D3EA4F0"/>
    <w:rsid w:val="4EE23E50"/>
    <w:rsid w:val="4F60CDEF"/>
    <w:rsid w:val="507F6C18"/>
    <w:rsid w:val="50A8180F"/>
    <w:rsid w:val="51627844"/>
    <w:rsid w:val="51E0837B"/>
    <w:rsid w:val="52F786D0"/>
    <w:rsid w:val="53238C2A"/>
    <w:rsid w:val="5459681F"/>
    <w:rsid w:val="549B3F28"/>
    <w:rsid w:val="549C01F3"/>
    <w:rsid w:val="55F175CC"/>
    <w:rsid w:val="56B08FEF"/>
    <w:rsid w:val="57B83A8B"/>
    <w:rsid w:val="5A01180A"/>
    <w:rsid w:val="5A84CAA9"/>
    <w:rsid w:val="5AAE5D2A"/>
    <w:rsid w:val="5BCE846C"/>
    <w:rsid w:val="5BFD0E8A"/>
    <w:rsid w:val="5D16E61F"/>
    <w:rsid w:val="5D549A61"/>
    <w:rsid w:val="5D87E173"/>
    <w:rsid w:val="5D9AB24B"/>
    <w:rsid w:val="5E49999D"/>
    <w:rsid w:val="5E9675D2"/>
    <w:rsid w:val="5EA26217"/>
    <w:rsid w:val="6256B37B"/>
    <w:rsid w:val="6268820F"/>
    <w:rsid w:val="649CE8DB"/>
    <w:rsid w:val="66208E5C"/>
    <w:rsid w:val="6694B489"/>
    <w:rsid w:val="66975698"/>
    <w:rsid w:val="67704F3C"/>
    <w:rsid w:val="67C839BE"/>
    <w:rsid w:val="6AA55026"/>
    <w:rsid w:val="6BC7BACC"/>
    <w:rsid w:val="6DACF704"/>
    <w:rsid w:val="726EFAD1"/>
    <w:rsid w:val="72D1CD87"/>
    <w:rsid w:val="73FE6301"/>
    <w:rsid w:val="760EEF73"/>
    <w:rsid w:val="7824FAAB"/>
    <w:rsid w:val="7856A927"/>
    <w:rsid w:val="79CB2E77"/>
    <w:rsid w:val="79FA08C4"/>
    <w:rsid w:val="7C0A6581"/>
    <w:rsid w:val="7C152211"/>
    <w:rsid w:val="7E2F7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6F484B"/>
  <w15:chartTrackingRefBased/>
  <w15:docId w15:val="{B44EE336-38E6-4BAA-9956-1CA9DDC0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43"/>
    <w:rPr>
      <w:rFonts w:ascii="Calibri" w:hAnsi="Calibri" w:cs="Calibri"/>
      <w:sz w:val="24"/>
      <w:szCs w:val="24"/>
      <w:shd w:val="clear" w:color="auto" w:fill="FFFFFF"/>
      <w:lang w:eastAsia="en-GB"/>
    </w:rPr>
  </w:style>
  <w:style w:type="paragraph" w:styleId="Heading1">
    <w:name w:val="heading 1"/>
    <w:basedOn w:val="Heading3"/>
    <w:next w:val="Normal"/>
    <w:link w:val="Heading1Char"/>
    <w:uiPriority w:val="9"/>
    <w:qFormat/>
    <w:rsid w:val="00EB620C"/>
    <w:pPr>
      <w:numPr>
        <w:ilvl w:val="0"/>
      </w:numPr>
      <w:spacing w:before="240" w:after="240" w:line="240" w:lineRule="auto"/>
      <w:outlineLvl w:val="0"/>
    </w:pPr>
    <w:rPr>
      <w:color w:val="009242"/>
    </w:rPr>
  </w:style>
  <w:style w:type="paragraph" w:styleId="Heading2">
    <w:name w:val="heading 2"/>
    <w:basedOn w:val="Normal"/>
    <w:next w:val="Normal"/>
    <w:link w:val="Heading2Char"/>
    <w:uiPriority w:val="9"/>
    <w:unhideWhenUsed/>
    <w:qFormat/>
    <w:rsid w:val="00A30A26"/>
    <w:pPr>
      <w:keepNext/>
      <w:keepLines/>
      <w:numPr>
        <w:ilvl w:val="1"/>
        <w:numId w:val="2"/>
      </w:numPr>
      <w:spacing w:before="240" w:after="240" w:line="240" w:lineRule="auto"/>
      <w:outlineLvl w:val="1"/>
    </w:pPr>
    <w:rPr>
      <w:rFonts w:eastAsiaTheme="majorEastAsia"/>
      <w:b/>
      <w:bCs/>
      <w:color w:val="009242"/>
    </w:rPr>
  </w:style>
  <w:style w:type="paragraph" w:styleId="Heading3">
    <w:name w:val="heading 3"/>
    <w:basedOn w:val="Normal"/>
    <w:next w:val="Normal"/>
    <w:link w:val="Heading3Char"/>
    <w:uiPriority w:val="9"/>
    <w:unhideWhenUsed/>
    <w:qFormat/>
    <w:rsid w:val="00243FD2"/>
    <w:pPr>
      <w:keepNext/>
      <w:keepLines/>
      <w:numPr>
        <w:ilvl w:val="2"/>
        <w:numId w:val="2"/>
      </w:numPr>
      <w:spacing w:before="160" w:after="80"/>
      <w:outlineLvl w:val="2"/>
    </w:pPr>
    <w:rPr>
      <w:rFonts w:eastAsiaTheme="majorEastAsia"/>
      <w:b/>
      <w:bCs/>
      <w:color w:val="2E74B5" w:themeColor="accent1" w:themeShade="BF"/>
      <w:sz w:val="28"/>
      <w:szCs w:val="28"/>
    </w:rPr>
  </w:style>
  <w:style w:type="paragraph" w:styleId="Heading4">
    <w:name w:val="heading 4"/>
    <w:basedOn w:val="Normal"/>
    <w:next w:val="Normal"/>
    <w:link w:val="Heading4Char"/>
    <w:uiPriority w:val="9"/>
    <w:unhideWhenUsed/>
    <w:qFormat/>
    <w:rsid w:val="00AE7B08"/>
    <w:pPr>
      <w:keepNext/>
      <w:keepLines/>
      <w:numPr>
        <w:ilvl w:val="3"/>
        <w:numId w:val="2"/>
      </w:numPr>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AE7B08"/>
    <w:pPr>
      <w:keepNext/>
      <w:keepLines/>
      <w:numPr>
        <w:ilvl w:val="4"/>
        <w:numId w:val="2"/>
      </w:numPr>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7B08"/>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B08"/>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B08"/>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B08"/>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20C"/>
    <w:rPr>
      <w:rFonts w:ascii="Calibri" w:eastAsiaTheme="majorEastAsia" w:hAnsi="Calibri" w:cs="Calibri"/>
      <w:b/>
      <w:bCs/>
      <w:color w:val="009242"/>
      <w:sz w:val="28"/>
      <w:szCs w:val="28"/>
      <w:lang w:eastAsia="en-GB"/>
    </w:rPr>
  </w:style>
  <w:style w:type="character" w:customStyle="1" w:styleId="Heading2Char">
    <w:name w:val="Heading 2 Char"/>
    <w:basedOn w:val="DefaultParagraphFont"/>
    <w:link w:val="Heading2"/>
    <w:uiPriority w:val="9"/>
    <w:rsid w:val="00A30A26"/>
    <w:rPr>
      <w:rFonts w:ascii="Calibri" w:eastAsiaTheme="majorEastAsia" w:hAnsi="Calibri" w:cs="Calibri"/>
      <w:b/>
      <w:bCs/>
      <w:color w:val="009242"/>
      <w:sz w:val="24"/>
      <w:szCs w:val="24"/>
      <w:lang w:eastAsia="en-GB"/>
    </w:rPr>
  </w:style>
  <w:style w:type="character" w:customStyle="1" w:styleId="Heading3Char">
    <w:name w:val="Heading 3 Char"/>
    <w:basedOn w:val="DefaultParagraphFont"/>
    <w:link w:val="Heading3"/>
    <w:uiPriority w:val="9"/>
    <w:rsid w:val="00243FD2"/>
    <w:rPr>
      <w:rFonts w:ascii="Calibri" w:eastAsiaTheme="majorEastAsia" w:hAnsi="Calibri" w:cs="Calibri"/>
      <w:b/>
      <w:bCs/>
      <w:color w:val="2E74B5" w:themeColor="accent1" w:themeShade="BF"/>
      <w:sz w:val="28"/>
      <w:szCs w:val="28"/>
      <w:lang w:eastAsia="en-GB"/>
    </w:rPr>
  </w:style>
  <w:style w:type="character" w:customStyle="1" w:styleId="Heading4Char">
    <w:name w:val="Heading 4 Char"/>
    <w:basedOn w:val="DefaultParagraphFont"/>
    <w:link w:val="Heading4"/>
    <w:uiPriority w:val="9"/>
    <w:rsid w:val="00AE7B08"/>
    <w:rPr>
      <w:rFonts w:ascii="Calibri" w:eastAsiaTheme="majorEastAsia" w:hAnsi="Calibr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AE7B08"/>
    <w:rPr>
      <w:rFonts w:ascii="Calibri" w:eastAsiaTheme="majorEastAsia" w:hAnsi="Calibri" w:cstheme="majorBidi"/>
      <w:color w:val="2E74B5" w:themeColor="accent1" w:themeShade="BF"/>
      <w:sz w:val="24"/>
      <w:szCs w:val="24"/>
      <w:lang w:eastAsia="en-GB"/>
    </w:rPr>
  </w:style>
  <w:style w:type="character" w:customStyle="1" w:styleId="Heading6Char">
    <w:name w:val="Heading 6 Char"/>
    <w:basedOn w:val="DefaultParagraphFont"/>
    <w:link w:val="Heading6"/>
    <w:uiPriority w:val="9"/>
    <w:semiHidden/>
    <w:rsid w:val="00AE7B08"/>
    <w:rPr>
      <w:rFonts w:ascii="Calibri" w:eastAsiaTheme="majorEastAsia" w:hAnsi="Calibri" w:cstheme="majorBidi"/>
      <w:i/>
      <w:iCs/>
      <w:color w:val="595959" w:themeColor="text1" w:themeTint="A6"/>
      <w:sz w:val="24"/>
      <w:szCs w:val="24"/>
      <w:lang w:eastAsia="en-GB"/>
    </w:rPr>
  </w:style>
  <w:style w:type="character" w:customStyle="1" w:styleId="Heading7Char">
    <w:name w:val="Heading 7 Char"/>
    <w:basedOn w:val="DefaultParagraphFont"/>
    <w:link w:val="Heading7"/>
    <w:uiPriority w:val="9"/>
    <w:semiHidden/>
    <w:rsid w:val="00AE7B08"/>
    <w:rPr>
      <w:rFonts w:ascii="Calibri" w:eastAsiaTheme="majorEastAsia" w:hAnsi="Calibri" w:cstheme="majorBidi"/>
      <w:color w:val="595959" w:themeColor="text1" w:themeTint="A6"/>
      <w:sz w:val="24"/>
      <w:szCs w:val="24"/>
      <w:lang w:eastAsia="en-GB"/>
    </w:rPr>
  </w:style>
  <w:style w:type="character" w:customStyle="1" w:styleId="Heading8Char">
    <w:name w:val="Heading 8 Char"/>
    <w:basedOn w:val="DefaultParagraphFont"/>
    <w:link w:val="Heading8"/>
    <w:uiPriority w:val="9"/>
    <w:semiHidden/>
    <w:rsid w:val="00AE7B08"/>
    <w:rPr>
      <w:rFonts w:ascii="Calibri" w:eastAsiaTheme="majorEastAsia" w:hAnsi="Calibri" w:cstheme="majorBidi"/>
      <w:i/>
      <w:iCs/>
      <w:color w:val="272727" w:themeColor="text1" w:themeTint="D8"/>
      <w:sz w:val="24"/>
      <w:szCs w:val="24"/>
      <w:lang w:eastAsia="en-GB"/>
    </w:rPr>
  </w:style>
  <w:style w:type="character" w:customStyle="1" w:styleId="Heading9Char">
    <w:name w:val="Heading 9 Char"/>
    <w:basedOn w:val="DefaultParagraphFont"/>
    <w:link w:val="Heading9"/>
    <w:uiPriority w:val="9"/>
    <w:semiHidden/>
    <w:rsid w:val="00AE7B08"/>
    <w:rPr>
      <w:rFonts w:ascii="Calibri" w:eastAsiaTheme="majorEastAsia" w:hAnsi="Calibri" w:cstheme="majorBidi"/>
      <w:color w:val="272727" w:themeColor="text1" w:themeTint="D8"/>
      <w:sz w:val="24"/>
      <w:szCs w:val="24"/>
      <w:lang w:eastAsia="en-GB"/>
    </w:rPr>
  </w:style>
  <w:style w:type="paragraph" w:styleId="Title">
    <w:name w:val="Title"/>
    <w:basedOn w:val="Normal"/>
    <w:next w:val="Normal"/>
    <w:link w:val="TitleChar"/>
    <w:uiPriority w:val="10"/>
    <w:qFormat/>
    <w:rsid w:val="00DB624D"/>
    <w:pPr>
      <w:spacing w:after="80" w:line="240" w:lineRule="auto"/>
      <w:contextualSpacing/>
    </w:pPr>
    <w:rPr>
      <w:rFonts w:eastAsia="Times New Roman"/>
      <w:b/>
      <w:bCs/>
      <w:color w:val="FFFFFF" w:themeColor="background1"/>
      <w:spacing w:val="-10"/>
      <w:kern w:val="28"/>
      <w:sz w:val="40"/>
      <w:szCs w:val="40"/>
      <w:lang w:val="en-US"/>
    </w:rPr>
  </w:style>
  <w:style w:type="character" w:customStyle="1" w:styleId="TitleChar">
    <w:name w:val="Title Char"/>
    <w:basedOn w:val="DefaultParagraphFont"/>
    <w:link w:val="Title"/>
    <w:uiPriority w:val="10"/>
    <w:rsid w:val="00DB624D"/>
    <w:rPr>
      <w:rFonts w:ascii="Calibri" w:eastAsia="Times New Roman" w:hAnsi="Calibri" w:cs="Calibri"/>
      <w:b/>
      <w:bCs/>
      <w:color w:val="FFFFFF" w:themeColor="background1"/>
      <w:spacing w:val="-10"/>
      <w:kern w:val="28"/>
      <w:sz w:val="40"/>
      <w:szCs w:val="40"/>
      <w:lang w:val="en-US" w:eastAsia="en-GB"/>
    </w:rPr>
  </w:style>
  <w:style w:type="paragraph" w:styleId="Subtitle">
    <w:name w:val="Subtitle"/>
    <w:basedOn w:val="Normal"/>
    <w:next w:val="Normal"/>
    <w:link w:val="SubtitleChar"/>
    <w:uiPriority w:val="11"/>
    <w:qFormat/>
    <w:rsid w:val="00AE7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B08"/>
    <w:pPr>
      <w:spacing w:before="160"/>
      <w:jc w:val="center"/>
    </w:pPr>
    <w:rPr>
      <w:i/>
      <w:iCs/>
      <w:color w:val="404040" w:themeColor="text1" w:themeTint="BF"/>
    </w:rPr>
  </w:style>
  <w:style w:type="character" w:customStyle="1" w:styleId="QuoteChar">
    <w:name w:val="Quote Char"/>
    <w:basedOn w:val="DefaultParagraphFont"/>
    <w:link w:val="Quote"/>
    <w:uiPriority w:val="29"/>
    <w:rsid w:val="00AE7B08"/>
    <w:rPr>
      <w:i/>
      <w:iCs/>
      <w:color w:val="404040" w:themeColor="text1" w:themeTint="BF"/>
    </w:rPr>
  </w:style>
  <w:style w:type="paragraph" w:styleId="ListParagraph">
    <w:name w:val="List Paragraph"/>
    <w:basedOn w:val="Normal"/>
    <w:uiPriority w:val="34"/>
    <w:qFormat/>
    <w:rsid w:val="00C45A98"/>
    <w:pPr>
      <w:numPr>
        <w:numId w:val="1"/>
      </w:numPr>
      <w:spacing w:line="240" w:lineRule="auto"/>
      <w:ind w:left="714" w:hanging="357"/>
    </w:pPr>
  </w:style>
  <w:style w:type="character" w:styleId="IntenseEmphasis">
    <w:name w:val="Intense Emphasis"/>
    <w:basedOn w:val="DefaultParagraphFont"/>
    <w:uiPriority w:val="21"/>
    <w:qFormat/>
    <w:rsid w:val="00AE7B08"/>
    <w:rPr>
      <w:i/>
      <w:iCs/>
      <w:color w:val="2E74B5" w:themeColor="accent1" w:themeShade="BF"/>
    </w:rPr>
  </w:style>
  <w:style w:type="paragraph" w:styleId="IntenseQuote">
    <w:name w:val="Intense Quote"/>
    <w:basedOn w:val="Normal"/>
    <w:next w:val="Normal"/>
    <w:link w:val="IntenseQuoteChar"/>
    <w:uiPriority w:val="30"/>
    <w:qFormat/>
    <w:rsid w:val="00AE7B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7B08"/>
    <w:rPr>
      <w:i/>
      <w:iCs/>
      <w:color w:val="2E74B5" w:themeColor="accent1" w:themeShade="BF"/>
    </w:rPr>
  </w:style>
  <w:style w:type="character" w:styleId="IntenseReference">
    <w:name w:val="Intense Reference"/>
    <w:basedOn w:val="DefaultParagraphFont"/>
    <w:uiPriority w:val="32"/>
    <w:qFormat/>
    <w:rsid w:val="00AE7B08"/>
    <w:rPr>
      <w:b/>
      <w:bCs/>
      <w:smallCaps/>
      <w:color w:val="2E74B5" w:themeColor="accent1" w:themeShade="BF"/>
      <w:spacing w:val="5"/>
    </w:rPr>
  </w:style>
  <w:style w:type="character" w:styleId="Hyperlink">
    <w:name w:val="Hyperlink"/>
    <w:basedOn w:val="DefaultParagraphFont"/>
    <w:uiPriority w:val="99"/>
    <w:unhideWhenUsed/>
    <w:rsid w:val="00AE7B08"/>
    <w:rPr>
      <w:color w:val="0563C1" w:themeColor="hyperlink"/>
      <w:u w:val="single"/>
    </w:rPr>
  </w:style>
  <w:style w:type="character" w:styleId="UnresolvedMention">
    <w:name w:val="Unresolved Mention"/>
    <w:basedOn w:val="DefaultParagraphFont"/>
    <w:uiPriority w:val="99"/>
    <w:semiHidden/>
    <w:unhideWhenUsed/>
    <w:rsid w:val="00AE7B08"/>
    <w:rPr>
      <w:color w:val="605E5C"/>
      <w:shd w:val="clear" w:color="auto" w:fill="E1DFDD"/>
    </w:rPr>
  </w:style>
  <w:style w:type="character" w:styleId="FollowedHyperlink">
    <w:name w:val="FollowedHyperlink"/>
    <w:basedOn w:val="DefaultParagraphFont"/>
    <w:uiPriority w:val="99"/>
    <w:semiHidden/>
    <w:unhideWhenUsed/>
    <w:rsid w:val="000A3BC5"/>
    <w:rPr>
      <w:color w:val="954F72" w:themeColor="followedHyperlink"/>
      <w:u w:val="single"/>
    </w:rPr>
  </w:style>
  <w:style w:type="character" w:customStyle="1" w:styleId="bibrecord-highlight-user">
    <w:name w:val="bibrecord-highlight-user"/>
    <w:basedOn w:val="DefaultParagraphFont"/>
    <w:rsid w:val="00D35326"/>
  </w:style>
  <w:style w:type="paragraph" w:styleId="Header">
    <w:name w:val="header"/>
    <w:basedOn w:val="Normal"/>
    <w:link w:val="HeaderChar"/>
    <w:uiPriority w:val="99"/>
    <w:unhideWhenUsed/>
    <w:rsid w:val="004C0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4CB"/>
  </w:style>
  <w:style w:type="paragraph" w:styleId="Footer">
    <w:name w:val="footer"/>
    <w:basedOn w:val="Normal"/>
    <w:link w:val="FooterChar"/>
    <w:uiPriority w:val="99"/>
    <w:unhideWhenUsed/>
    <w:rsid w:val="007332A7"/>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7332A7"/>
    <w:rPr>
      <w:rFonts w:ascii="Calibri" w:hAnsi="Calibri" w:cs="Calibri"/>
      <w:sz w:val="24"/>
      <w:szCs w:val="24"/>
      <w:lang w:eastAsia="en-GB"/>
    </w:rPr>
  </w:style>
  <w:style w:type="table" w:styleId="TableGrid">
    <w:name w:val="Table Grid"/>
    <w:basedOn w:val="TableNormal"/>
    <w:uiPriority w:val="39"/>
    <w:rsid w:val="002C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364DE"/>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C364DE"/>
    <w:rPr>
      <w:rFonts w:ascii="Aptos" w:hAnsi="Aptos"/>
      <w:noProof/>
      <w:lang w:val="en-US"/>
    </w:rPr>
  </w:style>
  <w:style w:type="paragraph" w:customStyle="1" w:styleId="EndNoteBibliography">
    <w:name w:val="EndNote Bibliography"/>
    <w:basedOn w:val="Normal"/>
    <w:link w:val="EndNoteBibliographyChar"/>
    <w:rsid w:val="00C364DE"/>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C364DE"/>
    <w:rPr>
      <w:rFonts w:ascii="Aptos" w:hAnsi="Aptos"/>
      <w:noProof/>
      <w:lang w:val="en-US"/>
    </w:rPr>
  </w:style>
  <w:style w:type="paragraph" w:styleId="EndnoteText">
    <w:name w:val="endnote text"/>
    <w:basedOn w:val="Normal"/>
    <w:link w:val="EndnoteTextChar"/>
    <w:uiPriority w:val="99"/>
    <w:unhideWhenUsed/>
    <w:rsid w:val="00EF1B80"/>
    <w:pPr>
      <w:spacing w:after="0" w:line="240" w:lineRule="auto"/>
    </w:pPr>
    <w:rPr>
      <w:sz w:val="20"/>
      <w:szCs w:val="20"/>
    </w:rPr>
  </w:style>
  <w:style w:type="character" w:customStyle="1" w:styleId="EndnoteTextChar">
    <w:name w:val="Endnote Text Char"/>
    <w:basedOn w:val="DefaultParagraphFont"/>
    <w:link w:val="EndnoteText"/>
    <w:uiPriority w:val="99"/>
    <w:rsid w:val="00EF1B80"/>
    <w:rPr>
      <w:sz w:val="20"/>
      <w:szCs w:val="20"/>
    </w:rPr>
  </w:style>
  <w:style w:type="character" w:styleId="EndnoteReference">
    <w:name w:val="endnote reference"/>
    <w:basedOn w:val="DefaultParagraphFont"/>
    <w:uiPriority w:val="99"/>
    <w:unhideWhenUsed/>
    <w:rsid w:val="00EF1B80"/>
    <w:rPr>
      <w:vertAlign w:val="superscript"/>
    </w:rPr>
  </w:style>
  <w:style w:type="paragraph" w:styleId="Revision">
    <w:name w:val="Revision"/>
    <w:hidden/>
    <w:uiPriority w:val="99"/>
    <w:semiHidden/>
    <w:rsid w:val="00A94953"/>
    <w:pPr>
      <w:spacing w:after="0" w:line="240" w:lineRule="auto"/>
    </w:pPr>
  </w:style>
  <w:style w:type="character" w:styleId="CommentReference">
    <w:name w:val="annotation reference"/>
    <w:basedOn w:val="DefaultParagraphFont"/>
    <w:uiPriority w:val="99"/>
    <w:semiHidden/>
    <w:unhideWhenUsed/>
    <w:rsid w:val="00451196"/>
    <w:rPr>
      <w:sz w:val="16"/>
      <w:szCs w:val="16"/>
    </w:rPr>
  </w:style>
  <w:style w:type="paragraph" w:styleId="CommentText">
    <w:name w:val="annotation text"/>
    <w:basedOn w:val="Normal"/>
    <w:link w:val="CommentTextChar"/>
    <w:uiPriority w:val="99"/>
    <w:unhideWhenUsed/>
    <w:rsid w:val="00451196"/>
    <w:pPr>
      <w:spacing w:line="240" w:lineRule="auto"/>
    </w:pPr>
    <w:rPr>
      <w:sz w:val="20"/>
      <w:szCs w:val="20"/>
    </w:rPr>
  </w:style>
  <w:style w:type="character" w:customStyle="1" w:styleId="CommentTextChar">
    <w:name w:val="Comment Text Char"/>
    <w:basedOn w:val="DefaultParagraphFont"/>
    <w:link w:val="CommentText"/>
    <w:uiPriority w:val="99"/>
    <w:rsid w:val="00451196"/>
    <w:rPr>
      <w:sz w:val="20"/>
      <w:szCs w:val="20"/>
    </w:rPr>
  </w:style>
  <w:style w:type="paragraph" w:styleId="CommentSubject">
    <w:name w:val="annotation subject"/>
    <w:basedOn w:val="CommentText"/>
    <w:next w:val="CommentText"/>
    <w:link w:val="CommentSubjectChar"/>
    <w:uiPriority w:val="99"/>
    <w:semiHidden/>
    <w:unhideWhenUsed/>
    <w:rsid w:val="00451196"/>
    <w:rPr>
      <w:b/>
      <w:bCs/>
    </w:rPr>
  </w:style>
  <w:style w:type="character" w:customStyle="1" w:styleId="CommentSubjectChar">
    <w:name w:val="Comment Subject Char"/>
    <w:basedOn w:val="CommentTextChar"/>
    <w:link w:val="CommentSubject"/>
    <w:uiPriority w:val="99"/>
    <w:semiHidden/>
    <w:rsid w:val="00451196"/>
    <w:rPr>
      <w:b/>
      <w:bCs/>
      <w:sz w:val="20"/>
      <w:szCs w:val="20"/>
    </w:rPr>
  </w:style>
  <w:style w:type="character" w:styleId="Mention">
    <w:name w:val="Mention"/>
    <w:basedOn w:val="DefaultParagraphFont"/>
    <w:uiPriority w:val="99"/>
    <w:unhideWhenUsed/>
    <w:rsid w:val="00660B2D"/>
    <w:rPr>
      <w:color w:val="2B579A"/>
      <w:shd w:val="clear" w:color="auto" w:fill="E1DFDD"/>
    </w:rPr>
  </w:style>
  <w:style w:type="paragraph" w:styleId="TOCHeading">
    <w:name w:val="TOC Heading"/>
    <w:basedOn w:val="Heading1"/>
    <w:next w:val="Normal"/>
    <w:uiPriority w:val="39"/>
    <w:unhideWhenUsed/>
    <w:qFormat/>
    <w:rsid w:val="00EB239A"/>
    <w:pPr>
      <w:numPr>
        <w:numId w:val="0"/>
      </w:numPr>
      <w:spacing w:line="259" w:lineRule="auto"/>
      <w:outlineLvl w:val="9"/>
    </w:pPr>
    <w:rPr>
      <w:color w:val="009A46"/>
      <w:kern w:val="0"/>
      <w:sz w:val="32"/>
      <w:szCs w:val="32"/>
      <w:shd w:val="clear" w:color="auto" w:fill="auto"/>
      <w14:ligatures w14:val="none"/>
    </w:rPr>
  </w:style>
  <w:style w:type="paragraph" w:styleId="TOC1">
    <w:name w:val="toc 1"/>
    <w:basedOn w:val="Normal"/>
    <w:next w:val="Normal"/>
    <w:autoRedefine/>
    <w:uiPriority w:val="39"/>
    <w:unhideWhenUsed/>
    <w:rsid w:val="00A26312"/>
    <w:pPr>
      <w:spacing w:after="100"/>
    </w:pPr>
  </w:style>
  <w:style w:type="paragraph" w:styleId="TOC2">
    <w:name w:val="toc 2"/>
    <w:basedOn w:val="Normal"/>
    <w:next w:val="Normal"/>
    <w:autoRedefine/>
    <w:uiPriority w:val="39"/>
    <w:unhideWhenUsed/>
    <w:rsid w:val="00A26312"/>
    <w:pPr>
      <w:spacing w:after="100"/>
      <w:ind w:left="240"/>
    </w:pPr>
  </w:style>
  <w:style w:type="table" w:styleId="LightList-Accent5">
    <w:name w:val="Light List Accent 5"/>
    <w:basedOn w:val="TableNormal"/>
    <w:uiPriority w:val="61"/>
    <w:rsid w:val="00EB5226"/>
    <w:pPr>
      <w:spacing w:after="0" w:line="240" w:lineRule="auto"/>
    </w:pPr>
    <w:rPr>
      <w:rFonts w:ascii="Arial" w:hAnsi="Arial" w:cs="Arial"/>
      <w:kern w:val="0"/>
      <w14:ligatures w14:val="none"/>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5464">
      <w:bodyDiv w:val="1"/>
      <w:marLeft w:val="0"/>
      <w:marRight w:val="0"/>
      <w:marTop w:val="0"/>
      <w:marBottom w:val="0"/>
      <w:divBdr>
        <w:top w:val="none" w:sz="0" w:space="0" w:color="auto"/>
        <w:left w:val="none" w:sz="0" w:space="0" w:color="auto"/>
        <w:bottom w:val="none" w:sz="0" w:space="0" w:color="auto"/>
        <w:right w:val="none" w:sz="0" w:space="0" w:color="auto"/>
      </w:divBdr>
      <w:divsChild>
        <w:div w:id="227112832">
          <w:marLeft w:val="0"/>
          <w:marRight w:val="0"/>
          <w:marTop w:val="0"/>
          <w:marBottom w:val="0"/>
          <w:divBdr>
            <w:top w:val="none" w:sz="0" w:space="0" w:color="auto"/>
            <w:left w:val="none" w:sz="0" w:space="0" w:color="auto"/>
            <w:bottom w:val="none" w:sz="0" w:space="0" w:color="auto"/>
            <w:right w:val="none" w:sz="0" w:space="0" w:color="auto"/>
          </w:divBdr>
          <w:divsChild>
            <w:div w:id="2581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4482">
      <w:bodyDiv w:val="1"/>
      <w:marLeft w:val="0"/>
      <w:marRight w:val="0"/>
      <w:marTop w:val="0"/>
      <w:marBottom w:val="0"/>
      <w:divBdr>
        <w:top w:val="none" w:sz="0" w:space="0" w:color="auto"/>
        <w:left w:val="none" w:sz="0" w:space="0" w:color="auto"/>
        <w:bottom w:val="none" w:sz="0" w:space="0" w:color="auto"/>
        <w:right w:val="none" w:sz="0" w:space="0" w:color="auto"/>
      </w:divBdr>
    </w:div>
    <w:div w:id="380909180">
      <w:bodyDiv w:val="1"/>
      <w:marLeft w:val="0"/>
      <w:marRight w:val="0"/>
      <w:marTop w:val="0"/>
      <w:marBottom w:val="0"/>
      <w:divBdr>
        <w:top w:val="none" w:sz="0" w:space="0" w:color="auto"/>
        <w:left w:val="none" w:sz="0" w:space="0" w:color="auto"/>
        <w:bottom w:val="none" w:sz="0" w:space="0" w:color="auto"/>
        <w:right w:val="none" w:sz="0" w:space="0" w:color="auto"/>
      </w:divBdr>
    </w:div>
    <w:div w:id="498541376">
      <w:bodyDiv w:val="1"/>
      <w:marLeft w:val="0"/>
      <w:marRight w:val="0"/>
      <w:marTop w:val="0"/>
      <w:marBottom w:val="0"/>
      <w:divBdr>
        <w:top w:val="none" w:sz="0" w:space="0" w:color="auto"/>
        <w:left w:val="none" w:sz="0" w:space="0" w:color="auto"/>
        <w:bottom w:val="none" w:sz="0" w:space="0" w:color="auto"/>
        <w:right w:val="none" w:sz="0" w:space="0" w:color="auto"/>
      </w:divBdr>
    </w:div>
    <w:div w:id="710611465">
      <w:bodyDiv w:val="1"/>
      <w:marLeft w:val="0"/>
      <w:marRight w:val="0"/>
      <w:marTop w:val="0"/>
      <w:marBottom w:val="0"/>
      <w:divBdr>
        <w:top w:val="none" w:sz="0" w:space="0" w:color="auto"/>
        <w:left w:val="none" w:sz="0" w:space="0" w:color="auto"/>
        <w:bottom w:val="none" w:sz="0" w:space="0" w:color="auto"/>
        <w:right w:val="none" w:sz="0" w:space="0" w:color="auto"/>
      </w:divBdr>
    </w:div>
    <w:div w:id="770320234">
      <w:bodyDiv w:val="1"/>
      <w:marLeft w:val="0"/>
      <w:marRight w:val="0"/>
      <w:marTop w:val="0"/>
      <w:marBottom w:val="0"/>
      <w:divBdr>
        <w:top w:val="none" w:sz="0" w:space="0" w:color="auto"/>
        <w:left w:val="none" w:sz="0" w:space="0" w:color="auto"/>
        <w:bottom w:val="none" w:sz="0" w:space="0" w:color="auto"/>
        <w:right w:val="none" w:sz="0" w:space="0" w:color="auto"/>
      </w:divBdr>
      <w:divsChild>
        <w:div w:id="556665681">
          <w:marLeft w:val="0"/>
          <w:marRight w:val="0"/>
          <w:marTop w:val="0"/>
          <w:marBottom w:val="0"/>
          <w:divBdr>
            <w:top w:val="none" w:sz="0" w:space="0" w:color="auto"/>
            <w:left w:val="none" w:sz="0" w:space="0" w:color="auto"/>
            <w:bottom w:val="none" w:sz="0" w:space="0" w:color="auto"/>
            <w:right w:val="none" w:sz="0" w:space="0" w:color="auto"/>
          </w:divBdr>
        </w:div>
        <w:div w:id="571893091">
          <w:marLeft w:val="0"/>
          <w:marRight w:val="0"/>
          <w:marTop w:val="0"/>
          <w:marBottom w:val="0"/>
          <w:divBdr>
            <w:top w:val="none" w:sz="0" w:space="0" w:color="auto"/>
            <w:left w:val="none" w:sz="0" w:space="0" w:color="auto"/>
            <w:bottom w:val="none" w:sz="0" w:space="0" w:color="auto"/>
            <w:right w:val="none" w:sz="0" w:space="0" w:color="auto"/>
          </w:divBdr>
        </w:div>
        <w:div w:id="909920789">
          <w:marLeft w:val="0"/>
          <w:marRight w:val="0"/>
          <w:marTop w:val="0"/>
          <w:marBottom w:val="0"/>
          <w:divBdr>
            <w:top w:val="none" w:sz="0" w:space="0" w:color="auto"/>
            <w:left w:val="none" w:sz="0" w:space="0" w:color="auto"/>
            <w:bottom w:val="none" w:sz="0" w:space="0" w:color="auto"/>
            <w:right w:val="none" w:sz="0" w:space="0" w:color="auto"/>
          </w:divBdr>
        </w:div>
        <w:div w:id="923877171">
          <w:marLeft w:val="0"/>
          <w:marRight w:val="0"/>
          <w:marTop w:val="0"/>
          <w:marBottom w:val="0"/>
          <w:divBdr>
            <w:top w:val="none" w:sz="0" w:space="0" w:color="auto"/>
            <w:left w:val="none" w:sz="0" w:space="0" w:color="auto"/>
            <w:bottom w:val="none" w:sz="0" w:space="0" w:color="auto"/>
            <w:right w:val="none" w:sz="0" w:space="0" w:color="auto"/>
          </w:divBdr>
        </w:div>
        <w:div w:id="944655146">
          <w:marLeft w:val="0"/>
          <w:marRight w:val="0"/>
          <w:marTop w:val="0"/>
          <w:marBottom w:val="0"/>
          <w:divBdr>
            <w:top w:val="none" w:sz="0" w:space="0" w:color="auto"/>
            <w:left w:val="none" w:sz="0" w:space="0" w:color="auto"/>
            <w:bottom w:val="none" w:sz="0" w:space="0" w:color="auto"/>
            <w:right w:val="none" w:sz="0" w:space="0" w:color="auto"/>
          </w:divBdr>
        </w:div>
      </w:divsChild>
    </w:div>
    <w:div w:id="853500175">
      <w:bodyDiv w:val="1"/>
      <w:marLeft w:val="0"/>
      <w:marRight w:val="0"/>
      <w:marTop w:val="0"/>
      <w:marBottom w:val="0"/>
      <w:divBdr>
        <w:top w:val="none" w:sz="0" w:space="0" w:color="auto"/>
        <w:left w:val="none" w:sz="0" w:space="0" w:color="auto"/>
        <w:bottom w:val="none" w:sz="0" w:space="0" w:color="auto"/>
        <w:right w:val="none" w:sz="0" w:space="0" w:color="auto"/>
      </w:divBdr>
    </w:div>
    <w:div w:id="1077628052">
      <w:bodyDiv w:val="1"/>
      <w:marLeft w:val="0"/>
      <w:marRight w:val="0"/>
      <w:marTop w:val="0"/>
      <w:marBottom w:val="0"/>
      <w:divBdr>
        <w:top w:val="none" w:sz="0" w:space="0" w:color="auto"/>
        <w:left w:val="none" w:sz="0" w:space="0" w:color="auto"/>
        <w:bottom w:val="none" w:sz="0" w:space="0" w:color="auto"/>
        <w:right w:val="none" w:sz="0" w:space="0" w:color="auto"/>
      </w:divBdr>
    </w:div>
    <w:div w:id="1082802205">
      <w:bodyDiv w:val="1"/>
      <w:marLeft w:val="0"/>
      <w:marRight w:val="0"/>
      <w:marTop w:val="0"/>
      <w:marBottom w:val="0"/>
      <w:divBdr>
        <w:top w:val="none" w:sz="0" w:space="0" w:color="auto"/>
        <w:left w:val="none" w:sz="0" w:space="0" w:color="auto"/>
        <w:bottom w:val="none" w:sz="0" w:space="0" w:color="auto"/>
        <w:right w:val="none" w:sz="0" w:space="0" w:color="auto"/>
      </w:divBdr>
      <w:divsChild>
        <w:div w:id="1621523510">
          <w:marLeft w:val="0"/>
          <w:marRight w:val="0"/>
          <w:marTop w:val="0"/>
          <w:marBottom w:val="0"/>
          <w:divBdr>
            <w:top w:val="none" w:sz="0" w:space="0" w:color="auto"/>
            <w:left w:val="none" w:sz="0" w:space="0" w:color="auto"/>
            <w:bottom w:val="none" w:sz="0" w:space="0" w:color="auto"/>
            <w:right w:val="none" w:sz="0" w:space="0" w:color="auto"/>
          </w:divBdr>
          <w:divsChild>
            <w:div w:id="2658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6380">
      <w:bodyDiv w:val="1"/>
      <w:marLeft w:val="0"/>
      <w:marRight w:val="0"/>
      <w:marTop w:val="0"/>
      <w:marBottom w:val="0"/>
      <w:divBdr>
        <w:top w:val="none" w:sz="0" w:space="0" w:color="auto"/>
        <w:left w:val="none" w:sz="0" w:space="0" w:color="auto"/>
        <w:bottom w:val="none" w:sz="0" w:space="0" w:color="auto"/>
        <w:right w:val="none" w:sz="0" w:space="0" w:color="auto"/>
      </w:divBdr>
    </w:div>
    <w:div w:id="1132137363">
      <w:bodyDiv w:val="1"/>
      <w:marLeft w:val="0"/>
      <w:marRight w:val="0"/>
      <w:marTop w:val="0"/>
      <w:marBottom w:val="0"/>
      <w:divBdr>
        <w:top w:val="none" w:sz="0" w:space="0" w:color="auto"/>
        <w:left w:val="none" w:sz="0" w:space="0" w:color="auto"/>
        <w:bottom w:val="none" w:sz="0" w:space="0" w:color="auto"/>
        <w:right w:val="none" w:sz="0" w:space="0" w:color="auto"/>
      </w:divBdr>
    </w:div>
    <w:div w:id="1145851392">
      <w:bodyDiv w:val="1"/>
      <w:marLeft w:val="0"/>
      <w:marRight w:val="0"/>
      <w:marTop w:val="0"/>
      <w:marBottom w:val="0"/>
      <w:divBdr>
        <w:top w:val="none" w:sz="0" w:space="0" w:color="auto"/>
        <w:left w:val="none" w:sz="0" w:space="0" w:color="auto"/>
        <w:bottom w:val="none" w:sz="0" w:space="0" w:color="auto"/>
        <w:right w:val="none" w:sz="0" w:space="0" w:color="auto"/>
      </w:divBdr>
    </w:div>
    <w:div w:id="1239289505">
      <w:bodyDiv w:val="1"/>
      <w:marLeft w:val="0"/>
      <w:marRight w:val="0"/>
      <w:marTop w:val="0"/>
      <w:marBottom w:val="0"/>
      <w:divBdr>
        <w:top w:val="none" w:sz="0" w:space="0" w:color="auto"/>
        <w:left w:val="none" w:sz="0" w:space="0" w:color="auto"/>
        <w:bottom w:val="none" w:sz="0" w:space="0" w:color="auto"/>
        <w:right w:val="none" w:sz="0" w:space="0" w:color="auto"/>
      </w:divBdr>
    </w:div>
    <w:div w:id="1243759777">
      <w:bodyDiv w:val="1"/>
      <w:marLeft w:val="0"/>
      <w:marRight w:val="0"/>
      <w:marTop w:val="0"/>
      <w:marBottom w:val="0"/>
      <w:divBdr>
        <w:top w:val="none" w:sz="0" w:space="0" w:color="auto"/>
        <w:left w:val="none" w:sz="0" w:space="0" w:color="auto"/>
        <w:bottom w:val="none" w:sz="0" w:space="0" w:color="auto"/>
        <w:right w:val="none" w:sz="0" w:space="0" w:color="auto"/>
      </w:divBdr>
      <w:divsChild>
        <w:div w:id="2009823679">
          <w:marLeft w:val="0"/>
          <w:marRight w:val="0"/>
          <w:marTop w:val="0"/>
          <w:marBottom w:val="0"/>
          <w:divBdr>
            <w:top w:val="none" w:sz="0" w:space="0" w:color="auto"/>
            <w:left w:val="none" w:sz="0" w:space="0" w:color="auto"/>
            <w:bottom w:val="none" w:sz="0" w:space="0" w:color="auto"/>
            <w:right w:val="none" w:sz="0" w:space="0" w:color="auto"/>
          </w:divBdr>
          <w:divsChild>
            <w:div w:id="8977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0676">
      <w:bodyDiv w:val="1"/>
      <w:marLeft w:val="0"/>
      <w:marRight w:val="0"/>
      <w:marTop w:val="0"/>
      <w:marBottom w:val="0"/>
      <w:divBdr>
        <w:top w:val="none" w:sz="0" w:space="0" w:color="auto"/>
        <w:left w:val="none" w:sz="0" w:space="0" w:color="auto"/>
        <w:bottom w:val="none" w:sz="0" w:space="0" w:color="auto"/>
        <w:right w:val="none" w:sz="0" w:space="0" w:color="auto"/>
      </w:divBdr>
      <w:divsChild>
        <w:div w:id="239947074">
          <w:marLeft w:val="0"/>
          <w:marRight w:val="0"/>
          <w:marTop w:val="0"/>
          <w:marBottom w:val="0"/>
          <w:divBdr>
            <w:top w:val="none" w:sz="0" w:space="0" w:color="auto"/>
            <w:left w:val="none" w:sz="0" w:space="0" w:color="auto"/>
            <w:bottom w:val="none" w:sz="0" w:space="0" w:color="auto"/>
            <w:right w:val="none" w:sz="0" w:space="0" w:color="auto"/>
          </w:divBdr>
        </w:div>
      </w:divsChild>
    </w:div>
    <w:div w:id="1720083142">
      <w:bodyDiv w:val="1"/>
      <w:marLeft w:val="0"/>
      <w:marRight w:val="0"/>
      <w:marTop w:val="0"/>
      <w:marBottom w:val="0"/>
      <w:divBdr>
        <w:top w:val="none" w:sz="0" w:space="0" w:color="auto"/>
        <w:left w:val="none" w:sz="0" w:space="0" w:color="auto"/>
        <w:bottom w:val="none" w:sz="0" w:space="0" w:color="auto"/>
        <w:right w:val="none" w:sz="0" w:space="0" w:color="auto"/>
      </w:divBdr>
    </w:div>
    <w:div w:id="1830176362">
      <w:bodyDiv w:val="1"/>
      <w:marLeft w:val="0"/>
      <w:marRight w:val="0"/>
      <w:marTop w:val="0"/>
      <w:marBottom w:val="0"/>
      <w:divBdr>
        <w:top w:val="none" w:sz="0" w:space="0" w:color="auto"/>
        <w:left w:val="none" w:sz="0" w:space="0" w:color="auto"/>
        <w:bottom w:val="none" w:sz="0" w:space="0" w:color="auto"/>
        <w:right w:val="none" w:sz="0" w:space="0" w:color="auto"/>
      </w:divBdr>
    </w:div>
    <w:div w:id="1916864412">
      <w:bodyDiv w:val="1"/>
      <w:marLeft w:val="0"/>
      <w:marRight w:val="0"/>
      <w:marTop w:val="0"/>
      <w:marBottom w:val="0"/>
      <w:divBdr>
        <w:top w:val="none" w:sz="0" w:space="0" w:color="auto"/>
        <w:left w:val="none" w:sz="0" w:space="0" w:color="auto"/>
        <w:bottom w:val="none" w:sz="0" w:space="0" w:color="auto"/>
        <w:right w:val="none" w:sz="0" w:space="0" w:color="auto"/>
      </w:divBdr>
      <w:divsChild>
        <w:div w:id="2085108710">
          <w:marLeft w:val="0"/>
          <w:marRight w:val="0"/>
          <w:marTop w:val="0"/>
          <w:marBottom w:val="0"/>
          <w:divBdr>
            <w:top w:val="none" w:sz="0" w:space="0" w:color="auto"/>
            <w:left w:val="none" w:sz="0" w:space="0" w:color="auto"/>
            <w:bottom w:val="none" w:sz="0" w:space="0" w:color="auto"/>
            <w:right w:val="none" w:sz="0" w:space="0" w:color="auto"/>
          </w:divBdr>
          <w:divsChild>
            <w:div w:id="2562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5434">
      <w:bodyDiv w:val="1"/>
      <w:marLeft w:val="0"/>
      <w:marRight w:val="0"/>
      <w:marTop w:val="0"/>
      <w:marBottom w:val="0"/>
      <w:divBdr>
        <w:top w:val="none" w:sz="0" w:space="0" w:color="auto"/>
        <w:left w:val="none" w:sz="0" w:space="0" w:color="auto"/>
        <w:bottom w:val="none" w:sz="0" w:space="0" w:color="auto"/>
        <w:right w:val="none" w:sz="0" w:space="0" w:color="auto"/>
      </w:divBdr>
      <w:divsChild>
        <w:div w:id="373778591">
          <w:marLeft w:val="0"/>
          <w:marRight w:val="0"/>
          <w:marTop w:val="0"/>
          <w:marBottom w:val="0"/>
          <w:divBdr>
            <w:top w:val="none" w:sz="0" w:space="0" w:color="auto"/>
            <w:left w:val="none" w:sz="0" w:space="0" w:color="auto"/>
            <w:bottom w:val="none" w:sz="0" w:space="0" w:color="auto"/>
            <w:right w:val="none" w:sz="0" w:space="0" w:color="auto"/>
          </w:divBdr>
        </w:div>
        <w:div w:id="409893741">
          <w:marLeft w:val="0"/>
          <w:marRight w:val="0"/>
          <w:marTop w:val="0"/>
          <w:marBottom w:val="0"/>
          <w:divBdr>
            <w:top w:val="none" w:sz="0" w:space="0" w:color="auto"/>
            <w:left w:val="none" w:sz="0" w:space="0" w:color="auto"/>
            <w:bottom w:val="none" w:sz="0" w:space="0" w:color="auto"/>
            <w:right w:val="none" w:sz="0" w:space="0" w:color="auto"/>
          </w:divBdr>
        </w:div>
        <w:div w:id="910432972">
          <w:marLeft w:val="0"/>
          <w:marRight w:val="0"/>
          <w:marTop w:val="0"/>
          <w:marBottom w:val="0"/>
          <w:divBdr>
            <w:top w:val="none" w:sz="0" w:space="0" w:color="auto"/>
            <w:left w:val="none" w:sz="0" w:space="0" w:color="auto"/>
            <w:bottom w:val="none" w:sz="0" w:space="0" w:color="auto"/>
            <w:right w:val="none" w:sz="0" w:space="0" w:color="auto"/>
          </w:divBdr>
        </w:div>
        <w:div w:id="1036465612">
          <w:marLeft w:val="0"/>
          <w:marRight w:val="0"/>
          <w:marTop w:val="0"/>
          <w:marBottom w:val="0"/>
          <w:divBdr>
            <w:top w:val="none" w:sz="0" w:space="0" w:color="auto"/>
            <w:left w:val="none" w:sz="0" w:space="0" w:color="auto"/>
            <w:bottom w:val="none" w:sz="0" w:space="0" w:color="auto"/>
            <w:right w:val="none" w:sz="0" w:space="0" w:color="auto"/>
          </w:divBdr>
        </w:div>
        <w:div w:id="1692611805">
          <w:marLeft w:val="0"/>
          <w:marRight w:val="0"/>
          <w:marTop w:val="0"/>
          <w:marBottom w:val="0"/>
          <w:divBdr>
            <w:top w:val="none" w:sz="0" w:space="0" w:color="auto"/>
            <w:left w:val="none" w:sz="0" w:space="0" w:color="auto"/>
            <w:bottom w:val="none" w:sz="0" w:space="0" w:color="auto"/>
            <w:right w:val="none" w:sz="0" w:space="0" w:color="auto"/>
          </w:divBdr>
        </w:div>
      </w:divsChild>
    </w:div>
    <w:div w:id="21108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bapras.org.uk/docs/default-source/commissioning-and-policy/information-for-commissioners-of-plastic-surgery-services.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pubmed.ncbi.nlm.nih.gov/31099174/"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rightdecisions.scot.nhs.uk/breast-pathways-referral-pathways/gynaecomastia/" TargetMode="External"/><Relationship Id="rId25" Type="http://schemas.openxmlformats.org/officeDocument/2006/relationships/hyperlink" Target="https://www.nhs.uk/tests-and-treatments/cosmetic-procedures/cosmetic-surgery/breast-reduction-male/" TargetMode="External"/><Relationship Id="rId2" Type="http://schemas.openxmlformats.org/officeDocument/2006/relationships/customXml" Target="../customXml/item2.xml"/><Relationship Id="rId16" Type="http://schemas.openxmlformats.org/officeDocument/2006/relationships/hyperlink" Target="mailto:his.evidence@nhs.scot" TargetMode="External"/><Relationship Id="rId20" Type="http://schemas.openxmlformats.org/officeDocument/2006/relationships/hyperlink" Target="https://pmc.ncbi.nlm.nih.gov/articles/PMC800726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ubmed.ncbi.nlm.nih.gov/26408934/" TargetMode="External"/><Relationship Id="rId5" Type="http://schemas.openxmlformats.org/officeDocument/2006/relationships/numbering" Target="numbering.xml"/><Relationship Id="rId15" Type="http://schemas.openxmlformats.org/officeDocument/2006/relationships/hyperlink" Target="mailto:craig.bell@gov.scot" TargetMode="External"/><Relationship Id="rId23" Type="http://schemas.openxmlformats.org/officeDocument/2006/relationships/hyperlink" Target="https://www.DynaMed.com/condition/gynecomasti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ociationofbreastsurgery.org.uk/media/b2ljdqhr/abs-summary-statement-gynaecomastia-v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Malyon@gov.scot" TargetMode="External"/><Relationship Id="rId22" Type="http://schemas.openxmlformats.org/officeDocument/2006/relationships/hyperlink" Target="https://bestpractice-bmj-com.knowledge.idm.oclc.org/topics/en-gb/869/pdf/869/Gynaecomastia.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DE37751E248843BAD21251E0AEBB1B" ma:contentTypeVersion="18" ma:contentTypeDescription="Create a new document." ma:contentTypeScope="" ma:versionID="f4fbbd7c7feaf5b02e1f1cb0a0346c8a">
  <xsd:schema xmlns:xsd="http://www.w3.org/2001/XMLSchema" xmlns:xs="http://www.w3.org/2001/XMLSchema" xmlns:p="http://schemas.microsoft.com/office/2006/metadata/properties" xmlns:ns2="c03657d8-15a2-4c46-bd5d-c19a21016eda" xmlns:ns3="54d1c5b6-be05-4bbd-bcf7-747edf3e0227" targetNamespace="http://schemas.microsoft.com/office/2006/metadata/properties" ma:root="true" ma:fieldsID="61c232b69c35c62a8ee1d5a67a056b29" ns2:_="" ns3:_="">
    <xsd:import namespace="c03657d8-15a2-4c46-bd5d-c19a21016eda"/>
    <xsd:import namespace="54d1c5b6-be05-4bbd-bcf7-747edf3e02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657d8-15a2-4c46-bd5d-c19a21016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1c5b6-be05-4bbd-bcf7-747edf3e02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a5da1f0-68c0-4a62-9ba3-12d94ab38908}" ma:internalName="TaxCatchAll" ma:showField="CatchAllData" ma:web="54d1c5b6-be05-4bbd-bcf7-747edf3e0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3657d8-15a2-4c46-bd5d-c19a21016eda">
      <Terms xmlns="http://schemas.microsoft.com/office/infopath/2007/PartnerControls"/>
    </lcf76f155ced4ddcb4097134ff3c332f>
    <TaxCatchAll xmlns="54d1c5b6-be05-4bbd-bcf7-747edf3e02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FF48F-2C7B-4964-92CA-6DE829501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657d8-15a2-4c46-bd5d-c19a21016eda"/>
    <ds:schemaRef ds:uri="54d1c5b6-be05-4bbd-bcf7-747edf3e0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DA1499-5B5B-4E26-B9B0-2374D6E05558}">
  <ds:schemaRefs>
    <ds:schemaRef ds:uri="http://schemas.microsoft.com/sharepoint/v3/contenttype/forms"/>
  </ds:schemaRefs>
</ds:datastoreItem>
</file>

<file path=customXml/itemProps3.xml><?xml version="1.0" encoding="utf-8"?>
<ds:datastoreItem xmlns:ds="http://schemas.openxmlformats.org/officeDocument/2006/customXml" ds:itemID="{55644238-EF26-4AEA-A9B7-2EE8519FCAFE}">
  <ds:schemaRefs>
    <ds:schemaRef ds:uri="http://schemas.microsoft.com/office/2006/metadata/properties"/>
    <ds:schemaRef ds:uri="http://schemas.microsoft.com/office/infopath/2007/PartnerControls"/>
    <ds:schemaRef ds:uri="c03657d8-15a2-4c46-bd5d-c19a21016eda"/>
    <ds:schemaRef ds:uri="54d1c5b6-be05-4bbd-bcf7-747edf3e0227"/>
  </ds:schemaRefs>
</ds:datastoreItem>
</file>

<file path=customXml/itemProps4.xml><?xml version="1.0" encoding="utf-8"?>
<ds:datastoreItem xmlns:ds="http://schemas.openxmlformats.org/officeDocument/2006/customXml" ds:itemID="{DBDE794D-281F-48BD-B150-891D61B5FC41}">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2359</Words>
  <Characters>16280</Characters>
  <Application>Microsoft Office Word</Application>
  <DocSecurity>0</DocSecurity>
  <PresentationFormat/>
  <Lines>135</Lines>
  <Paragraphs>37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Wales (NHS Healthcare Improvement Scotland)</dc:creator>
  <cp:keywords/>
  <dc:description/>
  <cp:lastModifiedBy>Jamie Savage (NHS Healthcare Improvement Scotland)</cp:lastModifiedBy>
  <cp:revision>4</cp:revision>
  <cp:lastPrinted>1900-01-01T00:00:00Z</cp:lastPrinted>
  <dcterms:created xsi:type="dcterms:W3CDTF">2025-05-14T20:52:00Z</dcterms:created>
  <dcterms:modified xsi:type="dcterms:W3CDTF">2025-10-02T08:52:00Z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0x01010013DE37751E248843BAD21251E0AEBB1B</vt:lpwstr>
  </property>
  <property fmtid="{D5CDD505-2E9C-101B-9397-08002B2CF9AE}" pid="3" name="MediaServiceImageTags">
    <vt:lpwstr/>
  </property>
  <property fmtid="{D5CDD505-2E9C-101B-9397-08002B2CF9AE}" pid="4" name="GrammarlyDocumentId">
    <vt:lpwstr>445be793-956d-470a-abfa-cb28939ab803</vt:lpwstr>
  </property>
</Properties>
</file>